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惠东县湖洲一路建设工程</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（编号09号）钢板桩机械及材料租赁</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79A238D3">
      <w:pPr>
        <w:widowControl w:val="0"/>
        <w:wordWrap w:val="0"/>
        <w:spacing w:line="360" w:lineRule="auto"/>
        <w:jc w:val="both"/>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2024年10月10日</w:t>
      </w:r>
    </w:p>
    <w:p w14:paraId="1781A992">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bookmarkStart w:id="21" w:name="_GoBack"/>
      <w:bookmarkEnd w:id="21"/>
      <w:r>
        <w:rPr>
          <w:rFonts w:hint="eastAsia" w:ascii="宋体" w:hAnsi="宋体" w:eastAsia="宋体" w:cs="宋体"/>
          <w:b/>
          <w:bCs/>
          <w:color w:val="auto"/>
          <w:kern w:val="2"/>
          <w:sz w:val="44"/>
          <w:szCs w:val="44"/>
          <w:highlight w:val="none"/>
          <w:u w:color="000000"/>
          <w:lang w:val="zh-TW" w:eastAsia="zh-TW" w:bidi="ar-SA"/>
        </w:rPr>
        <w:t>目    录</w:t>
      </w:r>
    </w:p>
    <w:p w14:paraId="601968DE">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60C87976">
      <w:pPr>
        <w:pStyle w:val="7"/>
        <w:framePr w:wrap="around" w:vAnchor="page" w:hAnchor="page" w:x="1816" w:y="2615"/>
        <w:tabs>
          <w:tab w:val="right" w:leader="dot" w:pos="8294"/>
        </w:tabs>
        <w:spacing w:line="720" w:lineRule="auto"/>
        <w:rPr>
          <w:sz w:val="32"/>
          <w:szCs w:val="40"/>
        </w:rPr>
      </w:pPr>
      <w:r>
        <w:rPr>
          <w:rFonts w:hint="eastAsia" w:ascii="宋体" w:hAnsi="宋体" w:eastAsia="宋体" w:cs="宋体"/>
          <w:b/>
          <w:bCs/>
          <w:color w:val="auto"/>
          <w:sz w:val="52"/>
          <w:szCs w:val="52"/>
          <w:lang w:val="en-US" w:eastAsia="en-US" w:bidi="ar-SA"/>
        </w:rPr>
        <w:fldChar w:fldCharType="begin"/>
      </w:r>
      <w:r>
        <w:rPr>
          <w:rFonts w:hint="eastAsia" w:ascii="宋体" w:hAnsi="宋体" w:eastAsia="宋体" w:cs="宋体"/>
          <w:b/>
          <w:bCs/>
          <w:color w:val="auto"/>
          <w:sz w:val="52"/>
          <w:szCs w:val="52"/>
          <w:lang w:val="en-US" w:eastAsia="en-US" w:bidi="ar-SA"/>
        </w:rPr>
        <w:instrText xml:space="preserve">TOC \o "1-3" \h \u </w:instrText>
      </w:r>
      <w:r>
        <w:rPr>
          <w:rFonts w:hint="eastAsia" w:ascii="宋体" w:hAnsi="宋体" w:eastAsia="宋体" w:cs="宋体"/>
          <w:b/>
          <w:bCs/>
          <w:color w:val="auto"/>
          <w:sz w:val="52"/>
          <w:szCs w:val="52"/>
          <w:lang w:val="en-US" w:eastAsia="en-US" w:bidi="ar-SA"/>
        </w:rPr>
        <w:fldChar w:fldCharType="separate"/>
      </w:r>
      <w:r>
        <w:rPr>
          <w:rFonts w:hint="eastAsia" w:ascii="宋体" w:hAnsi="宋体" w:eastAsia="宋体" w:cs="宋体"/>
          <w:bCs/>
          <w:color w:val="auto"/>
          <w:sz w:val="32"/>
          <w:szCs w:val="52"/>
          <w:lang w:val="en-US" w:eastAsia="en-US" w:bidi="ar-SA"/>
        </w:rPr>
        <w:fldChar w:fldCharType="begin"/>
      </w:r>
      <w:r>
        <w:rPr>
          <w:rFonts w:hint="eastAsia" w:ascii="宋体" w:hAnsi="宋体" w:eastAsia="宋体" w:cs="宋体"/>
          <w:bCs/>
          <w:sz w:val="32"/>
          <w:szCs w:val="52"/>
          <w:lang w:val="en-US" w:eastAsia="en-US" w:bidi="ar-SA"/>
        </w:rPr>
        <w:instrText xml:space="preserve"> HYPERLINK \l _Toc6316 </w:instrText>
      </w:r>
      <w:r>
        <w:rPr>
          <w:rFonts w:hint="eastAsia" w:ascii="宋体" w:hAnsi="宋体" w:eastAsia="宋体" w:cs="宋体"/>
          <w:bCs/>
          <w:sz w:val="32"/>
          <w:szCs w:val="52"/>
          <w:lang w:val="en-US" w:eastAsia="en-US" w:bidi="ar-SA"/>
        </w:rPr>
        <w:fldChar w:fldCharType="separate"/>
      </w:r>
      <w:r>
        <w:rPr>
          <w:rFonts w:hint="eastAsia" w:ascii="宋体" w:hAnsi="宋体" w:eastAsia="宋体" w:cs="宋体"/>
          <w:bCs/>
          <w:kern w:val="0"/>
          <w:sz w:val="32"/>
          <w:szCs w:val="48"/>
          <w:highlight w:val="none"/>
          <w:lang w:val="en-US" w:eastAsia="zh-CN"/>
        </w:rPr>
        <w:t>第一部分</w:t>
      </w:r>
      <w:r>
        <w:rPr>
          <w:rFonts w:hint="eastAsia" w:ascii="宋体" w:hAnsi="宋体" w:eastAsia="宋体" w:cs="宋体"/>
          <w:bCs/>
          <w:kern w:val="0"/>
          <w:sz w:val="32"/>
          <w:szCs w:val="48"/>
          <w:highlight w:val="none"/>
          <w:lang w:val="zh-TW" w:eastAsia="zh-TW"/>
        </w:rPr>
        <w:t xml:space="preserve">  </w:t>
      </w:r>
      <w:r>
        <w:rPr>
          <w:rFonts w:hint="eastAsia" w:ascii="宋体" w:hAnsi="宋体" w:eastAsia="宋体" w:cs="宋体"/>
          <w:bCs/>
          <w:kern w:val="0"/>
          <w:sz w:val="32"/>
          <w:szCs w:val="48"/>
          <w:highlight w:val="none"/>
          <w:lang w:val="en-US" w:eastAsia="zh-CN"/>
        </w:rPr>
        <w:t>竞价</w:t>
      </w:r>
      <w:r>
        <w:rPr>
          <w:rFonts w:hint="eastAsia" w:ascii="宋体" w:hAnsi="宋体" w:eastAsia="宋体" w:cs="宋体"/>
          <w:bCs/>
          <w:kern w:val="0"/>
          <w:sz w:val="32"/>
          <w:szCs w:val="48"/>
          <w:highlight w:val="none"/>
          <w:lang w:val="zh-TW" w:eastAsia="zh-TW"/>
        </w:rPr>
        <w:t>公告</w:t>
      </w:r>
      <w:r>
        <w:rPr>
          <w:sz w:val="32"/>
          <w:szCs w:val="40"/>
        </w:rPr>
        <w:tab/>
      </w:r>
      <w:r>
        <w:rPr>
          <w:sz w:val="32"/>
          <w:szCs w:val="40"/>
        </w:rPr>
        <w:fldChar w:fldCharType="begin"/>
      </w:r>
      <w:r>
        <w:rPr>
          <w:sz w:val="32"/>
          <w:szCs w:val="40"/>
        </w:rPr>
        <w:instrText xml:space="preserve"> PAGEREF _Toc6316 \h </w:instrText>
      </w:r>
      <w:r>
        <w:rPr>
          <w:sz w:val="32"/>
          <w:szCs w:val="40"/>
        </w:rPr>
        <w:fldChar w:fldCharType="separate"/>
      </w:r>
      <w:r>
        <w:rPr>
          <w:sz w:val="32"/>
          <w:szCs w:val="40"/>
        </w:rPr>
        <w:t>3</w:t>
      </w:r>
      <w:r>
        <w:rPr>
          <w:sz w:val="32"/>
          <w:szCs w:val="40"/>
        </w:rPr>
        <w:fldChar w:fldCharType="end"/>
      </w:r>
      <w:r>
        <w:rPr>
          <w:rFonts w:hint="eastAsia" w:ascii="宋体" w:hAnsi="宋体" w:eastAsia="宋体" w:cs="宋体"/>
          <w:bCs/>
          <w:color w:val="auto"/>
          <w:sz w:val="32"/>
          <w:szCs w:val="52"/>
          <w:lang w:val="en-US" w:eastAsia="en-US" w:bidi="ar-SA"/>
        </w:rPr>
        <w:fldChar w:fldCharType="end"/>
      </w:r>
    </w:p>
    <w:p w14:paraId="0AAE3339">
      <w:pPr>
        <w:pStyle w:val="7"/>
        <w:framePr w:wrap="around" w:vAnchor="page" w:hAnchor="page" w:x="1816" w:y="2615"/>
        <w:tabs>
          <w:tab w:val="right" w:leader="dot" w:pos="8294"/>
        </w:tabs>
        <w:spacing w:line="720" w:lineRule="auto"/>
        <w:rPr>
          <w:sz w:val="32"/>
          <w:szCs w:val="40"/>
        </w:rPr>
      </w:pPr>
      <w:r>
        <w:rPr>
          <w:rFonts w:hint="eastAsia" w:ascii="宋体" w:hAnsi="宋体" w:eastAsia="宋体" w:cs="宋体"/>
          <w:bCs/>
          <w:color w:val="auto"/>
          <w:kern w:val="0"/>
          <w:sz w:val="32"/>
          <w:szCs w:val="52"/>
          <w:lang w:eastAsia="en-US"/>
        </w:rPr>
        <w:fldChar w:fldCharType="begin"/>
      </w:r>
      <w:r>
        <w:rPr>
          <w:rFonts w:hint="eastAsia" w:ascii="宋体" w:hAnsi="宋体" w:eastAsia="宋体" w:cs="宋体"/>
          <w:bCs/>
          <w:kern w:val="0"/>
          <w:sz w:val="32"/>
          <w:szCs w:val="52"/>
          <w:lang w:eastAsia="en-US"/>
        </w:rPr>
        <w:instrText xml:space="preserve"> HYPERLINK \l _Toc29321 </w:instrText>
      </w:r>
      <w:r>
        <w:rPr>
          <w:rFonts w:hint="eastAsia" w:ascii="宋体" w:hAnsi="宋体" w:eastAsia="宋体" w:cs="宋体"/>
          <w:bCs/>
          <w:kern w:val="0"/>
          <w:sz w:val="32"/>
          <w:szCs w:val="52"/>
          <w:lang w:eastAsia="en-US"/>
        </w:rPr>
        <w:fldChar w:fldCharType="separate"/>
      </w:r>
      <w:r>
        <w:rPr>
          <w:rFonts w:hint="eastAsia" w:ascii="宋体" w:hAnsi="宋体" w:eastAsia="宋体" w:cs="宋体"/>
          <w:bCs/>
          <w:kern w:val="0"/>
          <w:sz w:val="32"/>
          <w:szCs w:val="48"/>
          <w:highlight w:val="none"/>
          <w:lang w:val="zh-TW" w:eastAsia="zh-TW"/>
        </w:rPr>
        <w:t>第</w:t>
      </w:r>
      <w:r>
        <w:rPr>
          <w:rFonts w:hint="eastAsia" w:ascii="宋体" w:hAnsi="宋体" w:eastAsia="宋体" w:cs="宋体"/>
          <w:bCs/>
          <w:kern w:val="0"/>
          <w:sz w:val="32"/>
          <w:szCs w:val="48"/>
          <w:highlight w:val="none"/>
          <w:lang w:eastAsia="zh-CN"/>
        </w:rPr>
        <w:t>二</w:t>
      </w:r>
      <w:r>
        <w:rPr>
          <w:rFonts w:hint="eastAsia" w:ascii="宋体" w:hAnsi="宋体" w:eastAsia="宋体" w:cs="宋体"/>
          <w:bCs/>
          <w:kern w:val="0"/>
          <w:sz w:val="32"/>
          <w:szCs w:val="48"/>
          <w:highlight w:val="none"/>
          <w:lang w:val="zh-TW" w:eastAsia="zh-TW"/>
        </w:rPr>
        <w:t xml:space="preserve">部分  </w:t>
      </w:r>
      <w:r>
        <w:rPr>
          <w:rFonts w:hint="eastAsia" w:ascii="宋体" w:hAnsi="宋体" w:eastAsia="宋体" w:cs="宋体"/>
          <w:bCs/>
          <w:kern w:val="0"/>
          <w:sz w:val="32"/>
          <w:szCs w:val="48"/>
          <w:highlight w:val="none"/>
          <w:lang w:eastAsia="zh-CN"/>
        </w:rPr>
        <w:t>参选人须知</w:t>
      </w:r>
      <w:r>
        <w:rPr>
          <w:sz w:val="32"/>
          <w:szCs w:val="40"/>
        </w:rPr>
        <w:tab/>
      </w:r>
      <w:r>
        <w:rPr>
          <w:sz w:val="32"/>
          <w:szCs w:val="40"/>
        </w:rPr>
        <w:fldChar w:fldCharType="begin"/>
      </w:r>
      <w:r>
        <w:rPr>
          <w:sz w:val="32"/>
          <w:szCs w:val="40"/>
        </w:rPr>
        <w:instrText xml:space="preserve"> PAGEREF _Toc29321 \h </w:instrText>
      </w:r>
      <w:r>
        <w:rPr>
          <w:sz w:val="32"/>
          <w:szCs w:val="40"/>
        </w:rPr>
        <w:fldChar w:fldCharType="separate"/>
      </w:r>
      <w:r>
        <w:rPr>
          <w:sz w:val="32"/>
          <w:szCs w:val="40"/>
        </w:rPr>
        <w:t>6</w:t>
      </w:r>
      <w:r>
        <w:rPr>
          <w:sz w:val="32"/>
          <w:szCs w:val="40"/>
        </w:rPr>
        <w:fldChar w:fldCharType="end"/>
      </w:r>
      <w:r>
        <w:rPr>
          <w:rFonts w:hint="eastAsia" w:ascii="宋体" w:hAnsi="宋体" w:eastAsia="宋体" w:cs="宋体"/>
          <w:bCs/>
          <w:color w:val="auto"/>
          <w:kern w:val="0"/>
          <w:sz w:val="32"/>
          <w:szCs w:val="52"/>
          <w:lang w:eastAsia="en-US"/>
        </w:rPr>
        <w:fldChar w:fldCharType="end"/>
      </w:r>
    </w:p>
    <w:p w14:paraId="67E9E3CD">
      <w:pPr>
        <w:pStyle w:val="7"/>
        <w:framePr w:wrap="around" w:vAnchor="page" w:hAnchor="page" w:x="1816" w:y="2615"/>
        <w:tabs>
          <w:tab w:val="right" w:leader="dot" w:pos="8294"/>
        </w:tabs>
        <w:spacing w:line="720" w:lineRule="auto"/>
        <w:rPr>
          <w:sz w:val="32"/>
          <w:szCs w:val="40"/>
        </w:rPr>
      </w:pPr>
      <w:r>
        <w:rPr>
          <w:rFonts w:hint="eastAsia" w:ascii="宋体" w:hAnsi="宋体" w:eastAsia="宋体" w:cs="宋体"/>
          <w:bCs/>
          <w:color w:val="auto"/>
          <w:kern w:val="0"/>
          <w:sz w:val="32"/>
          <w:szCs w:val="52"/>
          <w:lang w:eastAsia="en-US"/>
        </w:rPr>
        <w:fldChar w:fldCharType="begin"/>
      </w:r>
      <w:r>
        <w:rPr>
          <w:rFonts w:hint="eastAsia" w:ascii="宋体" w:hAnsi="宋体" w:eastAsia="宋体" w:cs="宋体"/>
          <w:bCs/>
          <w:kern w:val="0"/>
          <w:sz w:val="32"/>
          <w:szCs w:val="52"/>
          <w:lang w:eastAsia="en-US"/>
        </w:rPr>
        <w:instrText xml:space="preserve"> HYPERLINK \l _Toc24131 </w:instrText>
      </w:r>
      <w:r>
        <w:rPr>
          <w:rFonts w:hint="eastAsia" w:ascii="宋体" w:hAnsi="宋体" w:eastAsia="宋体" w:cs="宋体"/>
          <w:bCs/>
          <w:kern w:val="0"/>
          <w:sz w:val="32"/>
          <w:szCs w:val="52"/>
          <w:lang w:eastAsia="en-US"/>
        </w:rPr>
        <w:fldChar w:fldCharType="separate"/>
      </w:r>
      <w:r>
        <w:rPr>
          <w:rFonts w:hint="eastAsia" w:ascii="宋体" w:hAnsi="宋体" w:eastAsia="宋体" w:cs="宋体"/>
          <w:bCs/>
          <w:kern w:val="0"/>
          <w:sz w:val="32"/>
          <w:szCs w:val="48"/>
          <w:highlight w:val="none"/>
          <w:lang w:val="en-US" w:eastAsia="zh-CN"/>
        </w:rPr>
        <w:t>第三部分</w:t>
      </w:r>
      <w:r>
        <w:rPr>
          <w:rFonts w:hint="eastAsia" w:ascii="宋体" w:hAnsi="宋体" w:eastAsia="宋体" w:cs="宋体"/>
          <w:bCs/>
          <w:kern w:val="0"/>
          <w:sz w:val="32"/>
          <w:szCs w:val="48"/>
          <w:highlight w:val="none"/>
          <w:lang w:val="zh-TW" w:eastAsia="zh-TW"/>
        </w:rPr>
        <w:t xml:space="preserve">  </w:t>
      </w:r>
      <w:r>
        <w:rPr>
          <w:rFonts w:hint="eastAsia" w:ascii="宋体" w:hAnsi="宋体" w:eastAsia="宋体" w:cs="宋体"/>
          <w:bCs/>
          <w:kern w:val="0"/>
          <w:sz w:val="32"/>
          <w:szCs w:val="48"/>
          <w:highlight w:val="none"/>
          <w:lang w:val="en-US" w:eastAsia="zh-CN"/>
        </w:rPr>
        <w:t>工程量清单</w:t>
      </w:r>
      <w:r>
        <w:rPr>
          <w:sz w:val="32"/>
          <w:szCs w:val="40"/>
        </w:rPr>
        <w:tab/>
      </w:r>
      <w:r>
        <w:rPr>
          <w:sz w:val="32"/>
          <w:szCs w:val="40"/>
        </w:rPr>
        <w:fldChar w:fldCharType="begin"/>
      </w:r>
      <w:r>
        <w:rPr>
          <w:sz w:val="32"/>
          <w:szCs w:val="40"/>
        </w:rPr>
        <w:instrText xml:space="preserve"> PAGEREF _Toc24131 \h </w:instrText>
      </w:r>
      <w:r>
        <w:rPr>
          <w:sz w:val="32"/>
          <w:szCs w:val="40"/>
        </w:rPr>
        <w:fldChar w:fldCharType="separate"/>
      </w:r>
      <w:r>
        <w:rPr>
          <w:sz w:val="32"/>
          <w:szCs w:val="40"/>
        </w:rPr>
        <w:t>12</w:t>
      </w:r>
      <w:r>
        <w:rPr>
          <w:sz w:val="32"/>
          <w:szCs w:val="40"/>
        </w:rPr>
        <w:fldChar w:fldCharType="end"/>
      </w:r>
      <w:r>
        <w:rPr>
          <w:rFonts w:hint="eastAsia" w:ascii="宋体" w:hAnsi="宋体" w:eastAsia="宋体" w:cs="宋体"/>
          <w:bCs/>
          <w:color w:val="auto"/>
          <w:kern w:val="0"/>
          <w:sz w:val="32"/>
          <w:szCs w:val="52"/>
          <w:lang w:eastAsia="en-US"/>
        </w:rPr>
        <w:fldChar w:fldCharType="end"/>
      </w:r>
    </w:p>
    <w:p w14:paraId="13E182F7">
      <w:pPr>
        <w:pStyle w:val="7"/>
        <w:framePr w:wrap="around" w:vAnchor="page" w:hAnchor="page" w:x="1816" w:y="2615"/>
        <w:tabs>
          <w:tab w:val="right" w:leader="dot" w:pos="8294"/>
        </w:tabs>
        <w:spacing w:line="720" w:lineRule="auto"/>
        <w:rPr>
          <w:sz w:val="32"/>
          <w:szCs w:val="40"/>
        </w:rPr>
      </w:pPr>
      <w:r>
        <w:rPr>
          <w:rFonts w:hint="eastAsia" w:ascii="宋体" w:hAnsi="宋体" w:eastAsia="宋体" w:cs="宋体"/>
          <w:bCs/>
          <w:color w:val="auto"/>
          <w:kern w:val="0"/>
          <w:sz w:val="32"/>
          <w:szCs w:val="52"/>
          <w:lang w:eastAsia="en-US"/>
        </w:rPr>
        <w:fldChar w:fldCharType="begin"/>
      </w:r>
      <w:r>
        <w:rPr>
          <w:rFonts w:hint="eastAsia" w:ascii="宋体" w:hAnsi="宋体" w:eastAsia="宋体" w:cs="宋体"/>
          <w:bCs/>
          <w:kern w:val="0"/>
          <w:sz w:val="32"/>
          <w:szCs w:val="52"/>
          <w:lang w:eastAsia="en-US"/>
        </w:rPr>
        <w:instrText xml:space="preserve"> HYPERLINK \l _Toc26451 </w:instrText>
      </w:r>
      <w:r>
        <w:rPr>
          <w:rFonts w:hint="eastAsia" w:ascii="宋体" w:hAnsi="宋体" w:eastAsia="宋体" w:cs="宋体"/>
          <w:bCs/>
          <w:kern w:val="0"/>
          <w:sz w:val="32"/>
          <w:szCs w:val="52"/>
          <w:lang w:eastAsia="en-US"/>
        </w:rPr>
        <w:fldChar w:fldCharType="separate"/>
      </w:r>
      <w:r>
        <w:rPr>
          <w:rFonts w:hint="eastAsia" w:ascii="宋体" w:hAnsi="宋体" w:eastAsia="宋体" w:cs="宋体"/>
          <w:bCs/>
          <w:kern w:val="0"/>
          <w:sz w:val="32"/>
          <w:szCs w:val="48"/>
          <w:highlight w:val="none"/>
          <w:lang w:val="en-US" w:eastAsia="zh-CN"/>
        </w:rPr>
        <w:t>第四部分  评选办法</w:t>
      </w:r>
      <w:r>
        <w:rPr>
          <w:sz w:val="32"/>
          <w:szCs w:val="40"/>
        </w:rPr>
        <w:tab/>
      </w:r>
      <w:r>
        <w:rPr>
          <w:sz w:val="32"/>
          <w:szCs w:val="40"/>
        </w:rPr>
        <w:fldChar w:fldCharType="begin"/>
      </w:r>
      <w:r>
        <w:rPr>
          <w:sz w:val="32"/>
          <w:szCs w:val="40"/>
        </w:rPr>
        <w:instrText xml:space="preserve"> PAGEREF _Toc26451 \h </w:instrText>
      </w:r>
      <w:r>
        <w:rPr>
          <w:sz w:val="32"/>
          <w:szCs w:val="40"/>
        </w:rPr>
        <w:fldChar w:fldCharType="separate"/>
      </w:r>
      <w:r>
        <w:rPr>
          <w:sz w:val="32"/>
          <w:szCs w:val="40"/>
        </w:rPr>
        <w:t>13</w:t>
      </w:r>
      <w:r>
        <w:rPr>
          <w:sz w:val="32"/>
          <w:szCs w:val="40"/>
        </w:rPr>
        <w:fldChar w:fldCharType="end"/>
      </w:r>
      <w:r>
        <w:rPr>
          <w:rFonts w:hint="eastAsia" w:ascii="宋体" w:hAnsi="宋体" w:eastAsia="宋体" w:cs="宋体"/>
          <w:bCs/>
          <w:color w:val="auto"/>
          <w:kern w:val="0"/>
          <w:sz w:val="32"/>
          <w:szCs w:val="52"/>
          <w:lang w:eastAsia="en-US"/>
        </w:rPr>
        <w:fldChar w:fldCharType="end"/>
      </w:r>
    </w:p>
    <w:p w14:paraId="33C03093">
      <w:pPr>
        <w:pStyle w:val="7"/>
        <w:framePr w:wrap="around" w:vAnchor="page" w:hAnchor="page" w:x="1816" w:y="2615"/>
        <w:tabs>
          <w:tab w:val="right" w:leader="dot" w:pos="8294"/>
        </w:tabs>
        <w:spacing w:line="720" w:lineRule="auto"/>
        <w:rPr>
          <w:sz w:val="32"/>
          <w:szCs w:val="40"/>
        </w:rPr>
      </w:pPr>
      <w:r>
        <w:rPr>
          <w:rFonts w:hint="eastAsia" w:ascii="宋体" w:hAnsi="宋体" w:eastAsia="宋体" w:cs="宋体"/>
          <w:bCs/>
          <w:color w:val="auto"/>
          <w:kern w:val="0"/>
          <w:sz w:val="32"/>
          <w:szCs w:val="52"/>
          <w:lang w:eastAsia="en-US"/>
        </w:rPr>
        <w:fldChar w:fldCharType="begin"/>
      </w:r>
      <w:r>
        <w:rPr>
          <w:rFonts w:hint="eastAsia" w:ascii="宋体" w:hAnsi="宋体" w:eastAsia="宋体" w:cs="宋体"/>
          <w:bCs/>
          <w:kern w:val="0"/>
          <w:sz w:val="32"/>
          <w:szCs w:val="52"/>
          <w:lang w:eastAsia="en-US"/>
        </w:rPr>
        <w:instrText xml:space="preserve"> HYPERLINK \l _Toc32470 </w:instrText>
      </w:r>
      <w:r>
        <w:rPr>
          <w:rFonts w:hint="eastAsia" w:ascii="宋体" w:hAnsi="宋体" w:eastAsia="宋体" w:cs="宋体"/>
          <w:bCs/>
          <w:kern w:val="0"/>
          <w:sz w:val="32"/>
          <w:szCs w:val="52"/>
          <w:lang w:eastAsia="en-US"/>
        </w:rPr>
        <w:fldChar w:fldCharType="separate"/>
      </w:r>
      <w:r>
        <w:rPr>
          <w:rFonts w:hint="eastAsia" w:ascii="宋体" w:hAnsi="宋体" w:eastAsia="宋体" w:cs="宋体"/>
          <w:bCs/>
          <w:kern w:val="0"/>
          <w:sz w:val="32"/>
          <w:szCs w:val="48"/>
          <w:lang w:val="en-US" w:eastAsia="zh-CN"/>
        </w:rPr>
        <w:t xml:space="preserve">第五部分 </w:t>
      </w:r>
      <w:r>
        <w:rPr>
          <w:rFonts w:hint="eastAsia" w:ascii="宋体" w:hAnsi="宋体" w:eastAsia="宋体" w:cs="宋体"/>
          <w:bCs/>
          <w:kern w:val="0"/>
          <w:sz w:val="32"/>
          <w:szCs w:val="48"/>
          <w:highlight w:val="none"/>
          <w:lang w:val="en-US" w:eastAsia="zh-CN"/>
        </w:rPr>
        <w:t>合同主要条款</w:t>
      </w:r>
      <w:r>
        <w:rPr>
          <w:sz w:val="32"/>
          <w:szCs w:val="40"/>
        </w:rPr>
        <w:tab/>
      </w:r>
      <w:r>
        <w:rPr>
          <w:sz w:val="32"/>
          <w:szCs w:val="40"/>
        </w:rPr>
        <w:fldChar w:fldCharType="begin"/>
      </w:r>
      <w:r>
        <w:rPr>
          <w:sz w:val="32"/>
          <w:szCs w:val="40"/>
        </w:rPr>
        <w:instrText xml:space="preserve"> PAGEREF _Toc32470 \h </w:instrText>
      </w:r>
      <w:r>
        <w:rPr>
          <w:sz w:val="32"/>
          <w:szCs w:val="40"/>
        </w:rPr>
        <w:fldChar w:fldCharType="separate"/>
      </w:r>
      <w:r>
        <w:rPr>
          <w:sz w:val="32"/>
          <w:szCs w:val="40"/>
        </w:rPr>
        <w:t>14</w:t>
      </w:r>
      <w:r>
        <w:rPr>
          <w:sz w:val="32"/>
          <w:szCs w:val="40"/>
        </w:rPr>
        <w:fldChar w:fldCharType="end"/>
      </w:r>
      <w:r>
        <w:rPr>
          <w:rFonts w:hint="eastAsia" w:ascii="宋体" w:hAnsi="宋体" w:eastAsia="宋体" w:cs="宋体"/>
          <w:bCs/>
          <w:color w:val="auto"/>
          <w:kern w:val="0"/>
          <w:sz w:val="32"/>
          <w:szCs w:val="52"/>
          <w:lang w:eastAsia="en-US"/>
        </w:rPr>
        <w:fldChar w:fldCharType="end"/>
      </w:r>
    </w:p>
    <w:p w14:paraId="5977058D">
      <w:pPr>
        <w:pStyle w:val="7"/>
        <w:framePr w:wrap="around" w:vAnchor="page" w:hAnchor="page" w:x="1816" w:y="2615"/>
        <w:tabs>
          <w:tab w:val="right" w:leader="dot" w:pos="8294"/>
        </w:tabs>
        <w:spacing w:line="720" w:lineRule="auto"/>
        <w:rPr>
          <w:sz w:val="32"/>
          <w:szCs w:val="40"/>
        </w:rPr>
      </w:pPr>
      <w:r>
        <w:rPr>
          <w:rFonts w:hint="eastAsia" w:ascii="宋体" w:hAnsi="宋体" w:eastAsia="宋体" w:cs="宋体"/>
          <w:bCs/>
          <w:color w:val="auto"/>
          <w:kern w:val="0"/>
          <w:sz w:val="32"/>
          <w:szCs w:val="52"/>
          <w:lang w:eastAsia="en-US"/>
        </w:rPr>
        <w:fldChar w:fldCharType="begin"/>
      </w:r>
      <w:r>
        <w:rPr>
          <w:rFonts w:hint="eastAsia" w:ascii="宋体" w:hAnsi="宋体" w:eastAsia="宋体" w:cs="宋体"/>
          <w:bCs/>
          <w:kern w:val="0"/>
          <w:sz w:val="32"/>
          <w:szCs w:val="52"/>
          <w:lang w:eastAsia="en-US"/>
        </w:rPr>
        <w:instrText xml:space="preserve"> HYPERLINK \l _Toc6629 </w:instrText>
      </w:r>
      <w:r>
        <w:rPr>
          <w:rFonts w:hint="eastAsia" w:ascii="宋体" w:hAnsi="宋体" w:eastAsia="宋体" w:cs="宋体"/>
          <w:bCs/>
          <w:kern w:val="0"/>
          <w:sz w:val="32"/>
          <w:szCs w:val="52"/>
          <w:lang w:eastAsia="en-US"/>
        </w:rPr>
        <w:fldChar w:fldCharType="separate"/>
      </w:r>
      <w:r>
        <w:rPr>
          <w:rFonts w:hint="eastAsia" w:ascii="宋体" w:hAnsi="宋体" w:eastAsia="宋体" w:cs="宋体"/>
          <w:bCs/>
          <w:kern w:val="0"/>
          <w:sz w:val="32"/>
          <w:szCs w:val="48"/>
          <w:highlight w:val="none"/>
          <w:lang w:val="en-US" w:eastAsia="zh-CN"/>
        </w:rPr>
        <w:t>第六部分  响应文件格式</w:t>
      </w:r>
      <w:r>
        <w:rPr>
          <w:sz w:val="32"/>
          <w:szCs w:val="40"/>
        </w:rPr>
        <w:tab/>
      </w:r>
      <w:r>
        <w:rPr>
          <w:sz w:val="32"/>
          <w:szCs w:val="40"/>
        </w:rPr>
        <w:fldChar w:fldCharType="begin"/>
      </w:r>
      <w:r>
        <w:rPr>
          <w:sz w:val="32"/>
          <w:szCs w:val="40"/>
        </w:rPr>
        <w:instrText xml:space="preserve"> PAGEREF _Toc6629 \h </w:instrText>
      </w:r>
      <w:r>
        <w:rPr>
          <w:sz w:val="32"/>
          <w:szCs w:val="40"/>
        </w:rPr>
        <w:fldChar w:fldCharType="separate"/>
      </w:r>
      <w:r>
        <w:rPr>
          <w:sz w:val="32"/>
          <w:szCs w:val="40"/>
        </w:rPr>
        <w:t>19</w:t>
      </w:r>
      <w:r>
        <w:rPr>
          <w:sz w:val="32"/>
          <w:szCs w:val="40"/>
        </w:rPr>
        <w:fldChar w:fldCharType="end"/>
      </w:r>
      <w:r>
        <w:rPr>
          <w:rFonts w:hint="eastAsia" w:ascii="宋体" w:hAnsi="宋体" w:eastAsia="宋体" w:cs="宋体"/>
          <w:bCs/>
          <w:color w:val="auto"/>
          <w:kern w:val="0"/>
          <w:sz w:val="32"/>
          <w:szCs w:val="52"/>
          <w:lang w:eastAsia="en-US"/>
        </w:rPr>
        <w:fldChar w:fldCharType="end"/>
      </w:r>
    </w:p>
    <w:p w14:paraId="71ACD29B">
      <w:pPr>
        <w:keepNext w:val="0"/>
        <w:keepLines w:val="0"/>
        <w:pageBreakBefore w:val="0"/>
        <w:framePr w:wrap="around" w:vAnchor="page" w:hAnchor="page" w:x="1816" w:y="2615"/>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Cs/>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6316"/>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）的委托，诚邀国内合格参选人就惠东县湖洲一路建设工程（编号09号）钢板桩机械及材料租赁</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起点与教育路预留平交口相接，终点与规划沿江北路 T 型交叉，道路等级为城市支路，道路红线宽度为 24 米，双向两车道，设计速度 40 公里/小时，道路全长约 684 米。建设内容包括道路工程、交通工程、给排水工程（含雨水箱涵）、雨水泵站、照明工程、电力、通信工程及绿化工程。（具体施工内容以招标人提供的施工图及工程量清单为准）。由广东路通达建设工程有限公司负责项目施工任务。</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承包人现场施工所需的钢板桩机械及材料租赁</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2024年10月15日12:00。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公告发布时间：2024年10月10日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229646710"/>
      <w:bookmarkStart w:id="2" w:name="_Toc21380"/>
      <w:bookmarkStart w:id="3" w:name="_Toc144974496"/>
      <w:bookmarkStart w:id="4" w:name="_Toc7164"/>
      <w:bookmarkStart w:id="5" w:name="_Toc500491903"/>
      <w:bookmarkStart w:id="6" w:name="_Toc16780"/>
      <w:bookmarkStart w:id="7" w:name="_Toc31806"/>
      <w:bookmarkStart w:id="8" w:name="_Toc152045528"/>
      <w:bookmarkStart w:id="9" w:name="_Toc392345907"/>
      <w:bookmarkStart w:id="10" w:name="_Toc16761"/>
      <w:bookmarkStart w:id="11" w:name="_Toc152042304"/>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29321"/>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3"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5"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3"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5"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3"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5"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惠东县湖洲一路建设工程（编号09号）钢板桩机械及材料租赁</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3"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5"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承包人现场施工所需的钢板桩机械及材料租赁</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3"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5"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4</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10月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3"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5"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3"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5"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3"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5"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3"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5"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3"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5"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3"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5"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2024年10月15日12:00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3"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5"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3"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5"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3"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5"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3"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5"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3"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5"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3"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5"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3"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5"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3"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5"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3"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5"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3"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5"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3"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5"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3"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5"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3"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5"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3"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5"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3"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5"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3"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5"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3"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5"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惠东县湖洲一路建设工程（编号09号）钢板桩机械及材料租赁</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3F5FDB78">
      <w:pPr>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4131"/>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09"/>
        <w:gridCol w:w="309"/>
        <w:gridCol w:w="800"/>
        <w:gridCol w:w="1049"/>
        <w:gridCol w:w="443"/>
        <w:gridCol w:w="1023"/>
        <w:gridCol w:w="496"/>
        <w:gridCol w:w="1220"/>
        <w:gridCol w:w="1824"/>
        <w:gridCol w:w="1037"/>
      </w:tblGrid>
      <w:tr w14:paraId="04A7A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0" w:type="auto"/>
            <w:gridSpan w:val="9"/>
            <w:vMerge w:val="restart"/>
            <w:tcBorders>
              <w:top w:val="nil"/>
              <w:left w:val="nil"/>
              <w:bottom w:val="nil"/>
              <w:right w:val="nil"/>
            </w:tcBorders>
            <w:shd w:val="clear" w:color="auto" w:fill="auto"/>
            <w:noWrap/>
            <w:vAlign w:val="center"/>
          </w:tcPr>
          <w:p w14:paraId="1CFBC304">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租赁价格清单表</w:t>
            </w:r>
          </w:p>
        </w:tc>
        <w:tc>
          <w:tcPr>
            <w:tcW w:w="0" w:type="auto"/>
            <w:tcBorders>
              <w:top w:val="nil"/>
              <w:left w:val="nil"/>
              <w:bottom w:val="nil"/>
              <w:right w:val="nil"/>
            </w:tcBorders>
            <w:shd w:val="clear" w:color="auto" w:fill="auto"/>
            <w:noWrap/>
            <w:vAlign w:val="center"/>
          </w:tcPr>
          <w:p w14:paraId="51FA0808">
            <w:pPr>
              <w:rPr>
                <w:rFonts w:hint="eastAsia" w:ascii="宋体" w:hAnsi="宋体" w:eastAsia="宋体" w:cs="宋体"/>
                <w:i w:val="0"/>
                <w:iCs w:val="0"/>
                <w:color w:val="auto"/>
                <w:sz w:val="22"/>
                <w:szCs w:val="22"/>
                <w:u w:val="none"/>
              </w:rPr>
            </w:pPr>
          </w:p>
        </w:tc>
      </w:tr>
      <w:tr w14:paraId="1D649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trPr>
        <w:tc>
          <w:tcPr>
            <w:tcW w:w="0" w:type="auto"/>
            <w:gridSpan w:val="9"/>
            <w:vMerge w:val="continue"/>
            <w:tcBorders>
              <w:top w:val="nil"/>
              <w:left w:val="nil"/>
              <w:bottom w:val="nil"/>
              <w:right w:val="nil"/>
            </w:tcBorders>
            <w:shd w:val="clear" w:color="auto" w:fill="auto"/>
            <w:noWrap/>
            <w:vAlign w:val="center"/>
          </w:tcPr>
          <w:p w14:paraId="4AA5451E">
            <w:pPr>
              <w:jc w:val="center"/>
              <w:rPr>
                <w:rFonts w:hint="eastAsia" w:ascii="宋体" w:hAnsi="宋体" w:eastAsia="宋体" w:cs="宋体"/>
                <w:b/>
                <w:bCs/>
                <w:i w:val="0"/>
                <w:iCs w:val="0"/>
                <w:color w:val="auto"/>
                <w:sz w:val="40"/>
                <w:szCs w:val="40"/>
                <w:u w:val="none"/>
              </w:rPr>
            </w:pPr>
          </w:p>
        </w:tc>
        <w:tc>
          <w:tcPr>
            <w:tcW w:w="0" w:type="auto"/>
            <w:tcBorders>
              <w:top w:val="nil"/>
              <w:left w:val="nil"/>
              <w:bottom w:val="nil"/>
              <w:right w:val="nil"/>
            </w:tcBorders>
            <w:shd w:val="clear" w:color="auto" w:fill="auto"/>
            <w:noWrap/>
            <w:vAlign w:val="center"/>
          </w:tcPr>
          <w:p w14:paraId="14AECDCF">
            <w:pPr>
              <w:rPr>
                <w:rFonts w:hint="eastAsia" w:ascii="宋体" w:hAnsi="宋体" w:eastAsia="宋体" w:cs="宋体"/>
                <w:i w:val="0"/>
                <w:iCs w:val="0"/>
                <w:color w:val="auto"/>
                <w:sz w:val="22"/>
                <w:szCs w:val="22"/>
                <w:u w:val="none"/>
              </w:rPr>
            </w:pPr>
          </w:p>
        </w:tc>
      </w:tr>
      <w:tr w14:paraId="3FAB6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trPr>
        <w:tc>
          <w:tcPr>
            <w:tcW w:w="0" w:type="auto"/>
            <w:gridSpan w:val="9"/>
            <w:tcBorders>
              <w:top w:val="nil"/>
              <w:left w:val="nil"/>
              <w:bottom w:val="nil"/>
              <w:right w:val="nil"/>
            </w:tcBorders>
            <w:shd w:val="clear" w:color="auto" w:fill="auto"/>
            <w:vAlign w:val="center"/>
          </w:tcPr>
          <w:p w14:paraId="2C1189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工程名称：广东省惠州市惠东县城湖洲一路建设工程项目施工 </w:t>
            </w:r>
          </w:p>
        </w:tc>
        <w:tc>
          <w:tcPr>
            <w:tcW w:w="0" w:type="auto"/>
            <w:tcBorders>
              <w:top w:val="nil"/>
              <w:left w:val="nil"/>
              <w:bottom w:val="nil"/>
              <w:right w:val="nil"/>
            </w:tcBorders>
            <w:shd w:val="clear" w:color="auto" w:fill="auto"/>
            <w:noWrap/>
            <w:vAlign w:val="center"/>
          </w:tcPr>
          <w:p w14:paraId="0D8457B3">
            <w:pPr>
              <w:rPr>
                <w:rFonts w:hint="eastAsia" w:ascii="宋体" w:hAnsi="宋体" w:eastAsia="宋体" w:cs="宋体"/>
                <w:i w:val="0"/>
                <w:iCs w:val="0"/>
                <w:color w:val="auto"/>
                <w:sz w:val="22"/>
                <w:szCs w:val="22"/>
                <w:u w:val="none"/>
              </w:rPr>
            </w:pPr>
          </w:p>
        </w:tc>
      </w:tr>
      <w:tr w14:paraId="564A4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0" w:type="auto"/>
            <w:gridSpan w:val="9"/>
            <w:tcBorders>
              <w:top w:val="nil"/>
              <w:left w:val="nil"/>
              <w:bottom w:val="nil"/>
              <w:right w:val="nil"/>
            </w:tcBorders>
            <w:shd w:val="clear" w:color="auto" w:fill="auto"/>
            <w:noWrap/>
            <w:vAlign w:val="center"/>
          </w:tcPr>
          <w:p w14:paraId="1D2C9B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发包单位：广东路通达建设工程有限公司</w:t>
            </w:r>
          </w:p>
        </w:tc>
        <w:tc>
          <w:tcPr>
            <w:tcW w:w="0" w:type="auto"/>
            <w:tcBorders>
              <w:top w:val="nil"/>
              <w:left w:val="nil"/>
              <w:bottom w:val="single" w:color="000000" w:sz="8" w:space="0"/>
              <w:right w:val="nil"/>
            </w:tcBorders>
            <w:shd w:val="clear" w:color="auto" w:fill="auto"/>
            <w:noWrap/>
            <w:vAlign w:val="center"/>
          </w:tcPr>
          <w:p w14:paraId="7ABA6506">
            <w:pPr>
              <w:rPr>
                <w:rFonts w:hint="eastAsia" w:ascii="宋体" w:hAnsi="宋体" w:eastAsia="宋体" w:cs="宋体"/>
                <w:i w:val="0"/>
                <w:iCs w:val="0"/>
                <w:color w:val="auto"/>
                <w:sz w:val="22"/>
                <w:szCs w:val="22"/>
                <w:u w:val="none"/>
              </w:rPr>
            </w:pPr>
          </w:p>
        </w:tc>
      </w:tr>
      <w:tr w14:paraId="1418A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gridSpan w:val="2"/>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5F6BE6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0" w:type="auto"/>
            <w:vMerge w:val="restart"/>
            <w:tcBorders>
              <w:top w:val="single" w:color="000000" w:sz="8" w:space="0"/>
              <w:left w:val="nil"/>
              <w:bottom w:val="single" w:color="000000" w:sz="8" w:space="0"/>
              <w:right w:val="single" w:color="000000" w:sz="8" w:space="0"/>
            </w:tcBorders>
            <w:shd w:val="clear" w:color="auto" w:fill="FFFFFF"/>
            <w:vAlign w:val="center"/>
          </w:tcPr>
          <w:p w14:paraId="3C2FF21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项目名称</w:t>
            </w:r>
          </w:p>
        </w:tc>
        <w:tc>
          <w:tcPr>
            <w:tcW w:w="0" w:type="auto"/>
            <w:vMerge w:val="restart"/>
            <w:tcBorders>
              <w:top w:val="single" w:color="000000" w:sz="8" w:space="0"/>
              <w:left w:val="nil"/>
              <w:bottom w:val="single" w:color="000000" w:sz="8" w:space="0"/>
              <w:right w:val="single" w:color="000000" w:sz="8" w:space="0"/>
            </w:tcBorders>
            <w:shd w:val="clear" w:color="auto" w:fill="FFFFFF"/>
            <w:vAlign w:val="center"/>
          </w:tcPr>
          <w:p w14:paraId="6FD388C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项目特征描述</w:t>
            </w:r>
          </w:p>
        </w:tc>
        <w:tc>
          <w:tcPr>
            <w:tcW w:w="0" w:type="auto"/>
            <w:vMerge w:val="restart"/>
            <w:tcBorders>
              <w:top w:val="single" w:color="000000" w:sz="8" w:space="0"/>
              <w:left w:val="nil"/>
              <w:bottom w:val="single" w:color="000000" w:sz="8" w:space="0"/>
              <w:right w:val="single" w:color="000000" w:sz="8" w:space="0"/>
            </w:tcBorders>
            <w:shd w:val="clear" w:color="auto" w:fill="FFFFFF"/>
            <w:vAlign w:val="center"/>
          </w:tcPr>
          <w:p w14:paraId="37D4B0B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0" w:type="auto"/>
            <w:vMerge w:val="restart"/>
            <w:tcBorders>
              <w:top w:val="single" w:color="000000" w:sz="8" w:space="0"/>
              <w:left w:val="nil"/>
              <w:bottom w:val="single" w:color="000000" w:sz="8" w:space="0"/>
              <w:right w:val="single" w:color="000000" w:sz="8" w:space="0"/>
            </w:tcBorders>
            <w:shd w:val="clear" w:color="auto" w:fill="FFFFFF"/>
            <w:vAlign w:val="center"/>
          </w:tcPr>
          <w:p w14:paraId="0016CB1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工程量</w:t>
            </w:r>
          </w:p>
        </w:tc>
        <w:tc>
          <w:tcPr>
            <w:tcW w:w="0" w:type="auto"/>
            <w:vMerge w:val="restart"/>
            <w:tcBorders>
              <w:top w:val="single" w:color="000000" w:sz="8" w:space="0"/>
              <w:left w:val="nil"/>
              <w:bottom w:val="single" w:color="000000" w:sz="8" w:space="0"/>
              <w:right w:val="single" w:color="000000" w:sz="8" w:space="0"/>
            </w:tcBorders>
            <w:shd w:val="clear" w:color="auto" w:fill="FFFFFF"/>
            <w:vAlign w:val="center"/>
          </w:tcPr>
          <w:p w14:paraId="54AC29D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不含单价</w:t>
            </w:r>
          </w:p>
        </w:tc>
        <w:tc>
          <w:tcPr>
            <w:tcW w:w="0" w:type="auto"/>
            <w:vMerge w:val="restart"/>
            <w:tcBorders>
              <w:top w:val="single" w:color="000000" w:sz="8" w:space="0"/>
              <w:left w:val="nil"/>
              <w:bottom w:val="single" w:color="000000" w:sz="8" w:space="0"/>
              <w:right w:val="single" w:color="000000" w:sz="8" w:space="0"/>
            </w:tcBorders>
            <w:shd w:val="clear" w:color="auto" w:fill="FFFFFF"/>
            <w:noWrap/>
            <w:vAlign w:val="center"/>
          </w:tcPr>
          <w:p w14:paraId="4EBC53F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不含税金额</w:t>
            </w:r>
          </w:p>
        </w:tc>
        <w:tc>
          <w:tcPr>
            <w:tcW w:w="0" w:type="auto"/>
            <w:vMerge w:val="restart"/>
            <w:tcBorders>
              <w:top w:val="single" w:color="000000" w:sz="8" w:space="0"/>
              <w:left w:val="nil"/>
              <w:bottom w:val="single" w:color="000000" w:sz="8" w:space="0"/>
              <w:right w:val="single" w:color="000000" w:sz="8" w:space="0"/>
            </w:tcBorders>
            <w:shd w:val="clear" w:color="auto" w:fill="auto"/>
            <w:noWrap/>
            <w:vAlign w:val="center"/>
          </w:tcPr>
          <w:p w14:paraId="33A75F6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工作内容</w:t>
            </w:r>
          </w:p>
        </w:tc>
        <w:tc>
          <w:tcPr>
            <w:tcW w:w="0" w:type="auto"/>
            <w:vMerge w:val="restart"/>
            <w:tcBorders>
              <w:top w:val="single" w:color="000000" w:sz="8" w:space="0"/>
              <w:left w:val="nil"/>
              <w:bottom w:val="single" w:color="000000" w:sz="8" w:space="0"/>
              <w:right w:val="single" w:color="000000" w:sz="8" w:space="0"/>
            </w:tcBorders>
            <w:shd w:val="clear" w:color="auto" w:fill="FFFFFF"/>
            <w:vAlign w:val="center"/>
          </w:tcPr>
          <w:p w14:paraId="58F7997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材料、机械种类</w:t>
            </w:r>
          </w:p>
        </w:tc>
      </w:tr>
      <w:tr w14:paraId="3CFDF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gridSpan w:val="2"/>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4F9B204">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FFFFFF"/>
            <w:vAlign w:val="center"/>
          </w:tcPr>
          <w:p w14:paraId="050079D7">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FFFFFF"/>
            <w:vAlign w:val="center"/>
          </w:tcPr>
          <w:p w14:paraId="0A0E829A">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FFFFFF"/>
            <w:vAlign w:val="center"/>
          </w:tcPr>
          <w:p w14:paraId="7A42FD52">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FFFFFF"/>
            <w:vAlign w:val="center"/>
          </w:tcPr>
          <w:p w14:paraId="43B06A94">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FFFFFF"/>
            <w:vAlign w:val="center"/>
          </w:tcPr>
          <w:p w14:paraId="14EEB101">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FFFFFF"/>
            <w:noWrap/>
            <w:vAlign w:val="center"/>
          </w:tcPr>
          <w:p w14:paraId="0DB9A841">
            <w:pPr>
              <w:jc w:val="center"/>
              <w:rPr>
                <w:rFonts w:hint="eastAsia" w:ascii="宋体" w:hAnsi="宋体" w:eastAsia="宋体" w:cs="宋体"/>
                <w:b/>
                <w:bCs/>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auto"/>
            <w:noWrap/>
            <w:vAlign w:val="center"/>
          </w:tcPr>
          <w:p w14:paraId="7FBF0EDF">
            <w:pPr>
              <w:jc w:val="center"/>
              <w:rPr>
                <w:rFonts w:hint="eastAsia" w:ascii="宋体" w:hAnsi="宋体" w:eastAsia="宋体" w:cs="宋体"/>
                <w:b/>
                <w:bCs/>
                <w:i w:val="0"/>
                <w:iCs w:val="0"/>
                <w:color w:val="auto"/>
                <w:sz w:val="22"/>
                <w:szCs w:val="22"/>
                <w:u w:val="none"/>
              </w:rPr>
            </w:pPr>
          </w:p>
        </w:tc>
        <w:tc>
          <w:tcPr>
            <w:tcW w:w="0" w:type="auto"/>
            <w:vMerge w:val="continue"/>
            <w:tcBorders>
              <w:top w:val="single" w:color="000000" w:sz="8" w:space="0"/>
              <w:left w:val="nil"/>
              <w:bottom w:val="single" w:color="000000" w:sz="8" w:space="0"/>
              <w:right w:val="single" w:color="000000" w:sz="8" w:space="0"/>
            </w:tcBorders>
            <w:shd w:val="clear" w:color="auto" w:fill="FFFFFF"/>
            <w:vAlign w:val="center"/>
          </w:tcPr>
          <w:p w14:paraId="554E74C7">
            <w:pPr>
              <w:jc w:val="center"/>
              <w:rPr>
                <w:rFonts w:hint="eastAsia" w:ascii="宋体" w:hAnsi="宋体" w:eastAsia="宋体" w:cs="宋体"/>
                <w:b/>
                <w:bCs/>
                <w:i w:val="0"/>
                <w:iCs w:val="0"/>
                <w:color w:val="auto"/>
                <w:sz w:val="20"/>
                <w:szCs w:val="20"/>
                <w:u w:val="none"/>
              </w:rPr>
            </w:pPr>
          </w:p>
        </w:tc>
      </w:tr>
      <w:tr w14:paraId="0981B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gridSpan w:val="2"/>
            <w:tcBorders>
              <w:top w:val="nil"/>
              <w:left w:val="single" w:color="000000" w:sz="8" w:space="0"/>
              <w:bottom w:val="single" w:color="000000" w:sz="8" w:space="0"/>
              <w:right w:val="single" w:color="000000" w:sz="8" w:space="0"/>
            </w:tcBorders>
            <w:shd w:val="clear" w:color="auto" w:fill="auto"/>
            <w:vAlign w:val="center"/>
          </w:tcPr>
          <w:p w14:paraId="7BB96A6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一、</w:t>
            </w:r>
          </w:p>
        </w:tc>
        <w:tc>
          <w:tcPr>
            <w:tcW w:w="0" w:type="auto"/>
            <w:gridSpan w:val="2"/>
            <w:tcBorders>
              <w:top w:val="nil"/>
              <w:left w:val="nil"/>
              <w:bottom w:val="single" w:color="000000" w:sz="8" w:space="0"/>
              <w:right w:val="single" w:color="000000" w:sz="8" w:space="0"/>
            </w:tcBorders>
            <w:shd w:val="clear" w:color="auto" w:fill="auto"/>
            <w:vAlign w:val="center"/>
          </w:tcPr>
          <w:p w14:paraId="58A1242D">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基坑支护</w:t>
            </w:r>
          </w:p>
        </w:tc>
        <w:tc>
          <w:tcPr>
            <w:tcW w:w="0" w:type="auto"/>
            <w:tcBorders>
              <w:top w:val="nil"/>
              <w:left w:val="nil"/>
              <w:bottom w:val="single" w:color="000000" w:sz="8" w:space="0"/>
              <w:right w:val="single" w:color="000000" w:sz="8" w:space="0"/>
            </w:tcBorders>
            <w:shd w:val="clear" w:color="auto" w:fill="auto"/>
            <w:vAlign w:val="center"/>
          </w:tcPr>
          <w:p w14:paraId="355F5EFB">
            <w:pPr>
              <w:jc w:val="center"/>
              <w:rPr>
                <w:rFonts w:hint="eastAsia" w:ascii="宋体" w:hAnsi="宋体" w:eastAsia="宋体" w:cs="宋体"/>
                <w:b/>
                <w:bCs/>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auto"/>
            <w:vAlign w:val="center"/>
          </w:tcPr>
          <w:p w14:paraId="5F74E47C">
            <w:pPr>
              <w:jc w:val="right"/>
              <w:rPr>
                <w:rFonts w:hint="eastAsia" w:ascii="宋体" w:hAnsi="宋体" w:eastAsia="宋体" w:cs="宋体"/>
                <w:b/>
                <w:bCs/>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auto"/>
            <w:vAlign w:val="center"/>
          </w:tcPr>
          <w:p w14:paraId="542EFF60">
            <w:pPr>
              <w:jc w:val="right"/>
              <w:rPr>
                <w:rFonts w:hint="eastAsia" w:ascii="宋体" w:hAnsi="宋体" w:eastAsia="宋体" w:cs="宋体"/>
                <w:b/>
                <w:bCs/>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auto"/>
            <w:noWrap/>
            <w:vAlign w:val="center"/>
          </w:tcPr>
          <w:p w14:paraId="3026DD2A">
            <w:pPr>
              <w:jc w:val="right"/>
              <w:rPr>
                <w:rFonts w:hint="eastAsia" w:ascii="宋体" w:hAnsi="宋体" w:eastAsia="宋体" w:cs="宋体"/>
                <w:b/>
                <w:bCs/>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auto"/>
            <w:noWrap/>
            <w:vAlign w:val="center"/>
          </w:tcPr>
          <w:p w14:paraId="12375A2B">
            <w:pPr>
              <w:jc w:val="center"/>
              <w:rPr>
                <w:rFonts w:hint="eastAsia" w:ascii="宋体" w:hAnsi="宋体" w:eastAsia="宋体" w:cs="宋体"/>
                <w:b/>
                <w:bCs/>
                <w:i w:val="0"/>
                <w:iCs w:val="0"/>
                <w:color w:val="auto"/>
                <w:sz w:val="22"/>
                <w:szCs w:val="22"/>
                <w:u w:val="none"/>
              </w:rPr>
            </w:pPr>
          </w:p>
        </w:tc>
        <w:tc>
          <w:tcPr>
            <w:tcW w:w="0" w:type="auto"/>
            <w:tcBorders>
              <w:top w:val="nil"/>
              <w:left w:val="nil"/>
              <w:bottom w:val="single" w:color="000000" w:sz="8" w:space="0"/>
              <w:right w:val="single" w:color="000000" w:sz="8" w:space="0"/>
            </w:tcBorders>
            <w:shd w:val="clear" w:color="auto" w:fill="auto"/>
            <w:noWrap/>
            <w:vAlign w:val="center"/>
          </w:tcPr>
          <w:p w14:paraId="71D52E6C">
            <w:pPr>
              <w:jc w:val="center"/>
              <w:rPr>
                <w:rFonts w:hint="eastAsia" w:ascii="宋体" w:hAnsi="宋体" w:eastAsia="宋体" w:cs="宋体"/>
                <w:i w:val="0"/>
                <w:iCs w:val="0"/>
                <w:color w:val="auto"/>
                <w:sz w:val="22"/>
                <w:szCs w:val="22"/>
                <w:u w:val="none"/>
              </w:rPr>
            </w:pPr>
          </w:p>
        </w:tc>
      </w:tr>
      <w:tr w14:paraId="64106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7" w:hRule="atLeast"/>
        </w:trPr>
        <w:tc>
          <w:tcPr>
            <w:tcW w:w="0" w:type="auto"/>
            <w:gridSpan w:val="2"/>
            <w:vMerge w:val="restart"/>
            <w:tcBorders>
              <w:top w:val="nil"/>
              <w:left w:val="single" w:color="000000" w:sz="8" w:space="0"/>
              <w:bottom w:val="single" w:color="000000" w:sz="8" w:space="0"/>
              <w:right w:val="single" w:color="000000" w:sz="8" w:space="0"/>
            </w:tcBorders>
            <w:shd w:val="clear" w:color="auto" w:fill="FFFFFF"/>
            <w:vAlign w:val="center"/>
          </w:tcPr>
          <w:p w14:paraId="1C8FCC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0" w:type="auto"/>
            <w:vMerge w:val="restart"/>
            <w:tcBorders>
              <w:top w:val="nil"/>
              <w:left w:val="nil"/>
              <w:bottom w:val="single" w:color="000000" w:sz="8" w:space="0"/>
              <w:right w:val="single" w:color="000000" w:sz="8" w:space="0"/>
            </w:tcBorders>
            <w:shd w:val="clear" w:color="auto" w:fill="FFFFFF"/>
            <w:vAlign w:val="center"/>
          </w:tcPr>
          <w:p w14:paraId="7A962D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打拔拉森钢板桩Ⅳ型</w:t>
            </w:r>
          </w:p>
        </w:tc>
        <w:tc>
          <w:tcPr>
            <w:tcW w:w="0" w:type="auto"/>
            <w:tcBorders>
              <w:top w:val="nil"/>
              <w:left w:val="nil"/>
              <w:bottom w:val="nil"/>
              <w:right w:val="single" w:color="000000" w:sz="8" w:space="0"/>
            </w:tcBorders>
            <w:shd w:val="clear" w:color="auto" w:fill="FFFFFF"/>
            <w:vAlign w:val="center"/>
          </w:tcPr>
          <w:p w14:paraId="42279E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1、陆上打拉森钢板桩 12m以上</w:t>
            </w:r>
          </w:p>
        </w:tc>
        <w:tc>
          <w:tcPr>
            <w:tcW w:w="0" w:type="auto"/>
            <w:vMerge w:val="restart"/>
            <w:tcBorders>
              <w:top w:val="nil"/>
              <w:left w:val="nil"/>
              <w:bottom w:val="single" w:color="000000" w:sz="8" w:space="0"/>
              <w:right w:val="single" w:color="000000" w:sz="8" w:space="0"/>
            </w:tcBorders>
            <w:shd w:val="clear" w:color="auto" w:fill="FFFFFF"/>
            <w:vAlign w:val="center"/>
          </w:tcPr>
          <w:p w14:paraId="03919D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w:t>
            </w:r>
          </w:p>
        </w:tc>
        <w:tc>
          <w:tcPr>
            <w:tcW w:w="0" w:type="auto"/>
            <w:vMerge w:val="restart"/>
            <w:tcBorders>
              <w:top w:val="nil"/>
              <w:left w:val="nil"/>
              <w:bottom w:val="single" w:color="000000" w:sz="8" w:space="0"/>
              <w:right w:val="single" w:color="000000" w:sz="8" w:space="0"/>
            </w:tcBorders>
            <w:shd w:val="clear" w:color="auto" w:fill="FFFFFF"/>
            <w:vAlign w:val="center"/>
          </w:tcPr>
          <w:p w14:paraId="1D34E9DB">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6316.911</w:t>
            </w:r>
          </w:p>
        </w:tc>
        <w:tc>
          <w:tcPr>
            <w:tcW w:w="0" w:type="auto"/>
            <w:vMerge w:val="restart"/>
            <w:tcBorders>
              <w:top w:val="nil"/>
              <w:left w:val="nil"/>
              <w:bottom w:val="single" w:color="000000" w:sz="8" w:space="0"/>
              <w:right w:val="single" w:color="000000" w:sz="8" w:space="0"/>
            </w:tcBorders>
            <w:shd w:val="clear" w:color="auto" w:fill="FFFFFF"/>
            <w:vAlign w:val="center"/>
          </w:tcPr>
          <w:p w14:paraId="1BDF8A4C">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vMerge w:val="restart"/>
            <w:tcBorders>
              <w:top w:val="nil"/>
              <w:left w:val="nil"/>
              <w:bottom w:val="single" w:color="000000" w:sz="8" w:space="0"/>
              <w:right w:val="single" w:color="000000" w:sz="8" w:space="0"/>
            </w:tcBorders>
            <w:shd w:val="clear" w:color="auto" w:fill="FFFFFF"/>
            <w:noWrap/>
            <w:vAlign w:val="center"/>
          </w:tcPr>
          <w:p w14:paraId="59EC53D8">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vMerge w:val="restart"/>
            <w:tcBorders>
              <w:top w:val="nil"/>
              <w:left w:val="nil"/>
              <w:bottom w:val="single" w:color="000000" w:sz="8" w:space="0"/>
              <w:right w:val="single" w:color="000000" w:sz="8" w:space="0"/>
            </w:tcBorders>
            <w:shd w:val="clear" w:color="auto" w:fill="auto"/>
            <w:vAlign w:val="center"/>
          </w:tcPr>
          <w:p w14:paraId="1F2262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按施工图要求完成本项工作任务（含机械、司机、辅助人员、燃油费用）</w:t>
            </w:r>
          </w:p>
        </w:tc>
        <w:tc>
          <w:tcPr>
            <w:tcW w:w="0" w:type="auto"/>
            <w:vMerge w:val="restart"/>
            <w:tcBorders>
              <w:top w:val="single" w:color="000000" w:sz="8" w:space="0"/>
              <w:left w:val="nil"/>
              <w:bottom w:val="single" w:color="000000" w:sz="8" w:space="0"/>
              <w:right w:val="single" w:color="000000" w:sz="8" w:space="0"/>
            </w:tcBorders>
            <w:shd w:val="clear" w:color="auto" w:fill="auto"/>
            <w:vAlign w:val="center"/>
          </w:tcPr>
          <w:p w14:paraId="7EE8FD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拉森钢板桩Ⅳ型、履带式液压单斗振动打桩机</w:t>
            </w:r>
          </w:p>
        </w:tc>
      </w:tr>
      <w:tr w14:paraId="014EE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0" w:type="auto"/>
            <w:gridSpan w:val="2"/>
            <w:vMerge w:val="continue"/>
            <w:tcBorders>
              <w:top w:val="nil"/>
              <w:left w:val="single" w:color="000000" w:sz="8" w:space="0"/>
              <w:bottom w:val="single" w:color="000000" w:sz="8" w:space="0"/>
              <w:right w:val="single" w:color="000000" w:sz="8" w:space="0"/>
            </w:tcBorders>
            <w:shd w:val="clear" w:color="auto" w:fill="FFFFFF"/>
            <w:vAlign w:val="center"/>
          </w:tcPr>
          <w:p w14:paraId="077B0623">
            <w:pPr>
              <w:jc w:val="center"/>
              <w:rPr>
                <w:rFonts w:hint="eastAsia" w:ascii="宋体" w:hAnsi="宋体" w:eastAsia="宋体" w:cs="宋体"/>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FFFFFF"/>
            <w:vAlign w:val="center"/>
          </w:tcPr>
          <w:p w14:paraId="2857CED9">
            <w:pPr>
              <w:jc w:val="left"/>
              <w:rPr>
                <w:rFonts w:hint="eastAsia" w:ascii="宋体" w:hAnsi="宋体" w:eastAsia="宋体" w:cs="宋体"/>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FFFFFF"/>
            <w:vAlign w:val="center"/>
          </w:tcPr>
          <w:p w14:paraId="42EE35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2、拔拉森钢板桩</w:t>
            </w:r>
          </w:p>
        </w:tc>
        <w:tc>
          <w:tcPr>
            <w:tcW w:w="0" w:type="auto"/>
            <w:vMerge w:val="continue"/>
            <w:tcBorders>
              <w:top w:val="nil"/>
              <w:left w:val="nil"/>
              <w:bottom w:val="single" w:color="000000" w:sz="8" w:space="0"/>
              <w:right w:val="single" w:color="000000" w:sz="8" w:space="0"/>
            </w:tcBorders>
            <w:shd w:val="clear" w:color="auto" w:fill="FFFFFF"/>
            <w:vAlign w:val="center"/>
          </w:tcPr>
          <w:p w14:paraId="6A4ABB54">
            <w:pPr>
              <w:jc w:val="center"/>
              <w:rPr>
                <w:rFonts w:hint="eastAsia" w:ascii="宋体" w:hAnsi="宋体" w:eastAsia="宋体" w:cs="宋体"/>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FFFFFF"/>
            <w:vAlign w:val="center"/>
          </w:tcPr>
          <w:p w14:paraId="4E47F4A1">
            <w:pPr>
              <w:jc w:val="right"/>
              <w:rPr>
                <w:rFonts w:hint="eastAsia" w:ascii="宋体" w:hAnsi="宋体" w:eastAsia="宋体" w:cs="宋体"/>
                <w:b/>
                <w:bCs/>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FFFFFF"/>
            <w:vAlign w:val="center"/>
          </w:tcPr>
          <w:p w14:paraId="26A05257">
            <w:pPr>
              <w:jc w:val="right"/>
              <w:rPr>
                <w:rFonts w:hint="eastAsia" w:ascii="宋体" w:hAnsi="宋体" w:eastAsia="宋体" w:cs="宋体"/>
                <w:b/>
                <w:bCs/>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FFFFFF"/>
            <w:noWrap/>
            <w:vAlign w:val="center"/>
          </w:tcPr>
          <w:p w14:paraId="2B738F8C">
            <w:pPr>
              <w:jc w:val="right"/>
              <w:rPr>
                <w:rFonts w:hint="eastAsia" w:ascii="宋体" w:hAnsi="宋体" w:eastAsia="宋体" w:cs="宋体"/>
                <w:b/>
                <w:bCs/>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auto"/>
            <w:vAlign w:val="center"/>
          </w:tcPr>
          <w:p w14:paraId="353EE70C">
            <w:pPr>
              <w:jc w:val="center"/>
              <w:rPr>
                <w:rFonts w:hint="eastAsia" w:ascii="宋体" w:hAnsi="宋体" w:eastAsia="宋体" w:cs="宋体"/>
                <w:i w:val="0"/>
                <w:iCs w:val="0"/>
                <w:color w:val="auto"/>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auto"/>
            <w:vAlign w:val="center"/>
          </w:tcPr>
          <w:p w14:paraId="233EAE4F">
            <w:pPr>
              <w:jc w:val="center"/>
              <w:rPr>
                <w:rFonts w:hint="eastAsia" w:ascii="宋体" w:hAnsi="宋体" w:eastAsia="宋体" w:cs="宋体"/>
                <w:i w:val="0"/>
                <w:iCs w:val="0"/>
                <w:color w:val="auto"/>
                <w:sz w:val="18"/>
                <w:szCs w:val="18"/>
                <w:u w:val="none"/>
              </w:rPr>
            </w:pPr>
          </w:p>
        </w:tc>
      </w:tr>
      <w:tr w14:paraId="4C11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1" w:hRule="atLeast"/>
        </w:trPr>
        <w:tc>
          <w:tcPr>
            <w:tcW w:w="0" w:type="auto"/>
            <w:gridSpan w:val="2"/>
            <w:vMerge w:val="restart"/>
            <w:tcBorders>
              <w:top w:val="nil"/>
              <w:left w:val="single" w:color="000000" w:sz="8" w:space="0"/>
              <w:bottom w:val="single" w:color="000000" w:sz="8" w:space="0"/>
              <w:right w:val="single" w:color="000000" w:sz="8" w:space="0"/>
            </w:tcBorders>
            <w:shd w:val="clear" w:color="auto" w:fill="auto"/>
            <w:vAlign w:val="center"/>
          </w:tcPr>
          <w:p w14:paraId="3F5EB3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0" w:type="auto"/>
            <w:vMerge w:val="restart"/>
            <w:tcBorders>
              <w:top w:val="nil"/>
              <w:left w:val="nil"/>
              <w:bottom w:val="single" w:color="000000" w:sz="8" w:space="0"/>
              <w:right w:val="single" w:color="000000" w:sz="8" w:space="0"/>
            </w:tcBorders>
            <w:shd w:val="clear" w:color="auto" w:fill="auto"/>
            <w:vAlign w:val="center"/>
          </w:tcPr>
          <w:p w14:paraId="755D37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支撑安装、拆除</w:t>
            </w:r>
          </w:p>
        </w:tc>
        <w:tc>
          <w:tcPr>
            <w:tcW w:w="0" w:type="auto"/>
            <w:tcBorders>
              <w:top w:val="nil"/>
              <w:left w:val="nil"/>
              <w:bottom w:val="nil"/>
              <w:right w:val="single" w:color="000000" w:sz="8" w:space="0"/>
            </w:tcBorders>
            <w:shd w:val="clear" w:color="auto" w:fill="auto"/>
            <w:vAlign w:val="center"/>
          </w:tcPr>
          <w:p w14:paraId="1C1FF8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1、大型支撑安装、拆除 宽15m以内 安装</w:t>
            </w:r>
          </w:p>
        </w:tc>
        <w:tc>
          <w:tcPr>
            <w:tcW w:w="0" w:type="auto"/>
            <w:vMerge w:val="restart"/>
            <w:tcBorders>
              <w:top w:val="nil"/>
              <w:left w:val="nil"/>
              <w:bottom w:val="single" w:color="000000" w:sz="8" w:space="0"/>
              <w:right w:val="single" w:color="000000" w:sz="8" w:space="0"/>
            </w:tcBorders>
            <w:shd w:val="clear" w:color="auto" w:fill="auto"/>
            <w:vAlign w:val="center"/>
          </w:tcPr>
          <w:p w14:paraId="1E3B10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w:t>
            </w:r>
          </w:p>
        </w:tc>
        <w:tc>
          <w:tcPr>
            <w:tcW w:w="0" w:type="auto"/>
            <w:vMerge w:val="restart"/>
            <w:tcBorders>
              <w:top w:val="nil"/>
              <w:left w:val="nil"/>
              <w:bottom w:val="single" w:color="000000" w:sz="8" w:space="0"/>
              <w:right w:val="single" w:color="000000" w:sz="8" w:space="0"/>
            </w:tcBorders>
            <w:shd w:val="clear" w:color="auto" w:fill="auto"/>
            <w:vAlign w:val="center"/>
          </w:tcPr>
          <w:p w14:paraId="073B15F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683</w:t>
            </w:r>
          </w:p>
        </w:tc>
        <w:tc>
          <w:tcPr>
            <w:tcW w:w="0" w:type="auto"/>
            <w:vMerge w:val="restart"/>
            <w:tcBorders>
              <w:top w:val="nil"/>
              <w:left w:val="nil"/>
              <w:bottom w:val="single" w:color="000000" w:sz="8" w:space="0"/>
              <w:right w:val="single" w:color="000000" w:sz="8" w:space="0"/>
            </w:tcBorders>
            <w:shd w:val="clear" w:color="auto" w:fill="auto"/>
            <w:vAlign w:val="center"/>
          </w:tcPr>
          <w:p w14:paraId="106C6535">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vMerge w:val="restart"/>
            <w:tcBorders>
              <w:top w:val="nil"/>
              <w:left w:val="nil"/>
              <w:bottom w:val="single" w:color="000000" w:sz="8" w:space="0"/>
              <w:right w:val="single" w:color="000000" w:sz="8" w:space="0"/>
            </w:tcBorders>
            <w:shd w:val="clear" w:color="auto" w:fill="FFFFFF"/>
            <w:noWrap/>
            <w:vAlign w:val="center"/>
          </w:tcPr>
          <w:p w14:paraId="47654A04">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vMerge w:val="restart"/>
            <w:tcBorders>
              <w:top w:val="nil"/>
              <w:left w:val="nil"/>
              <w:bottom w:val="single" w:color="000000" w:sz="8" w:space="0"/>
              <w:right w:val="single" w:color="000000" w:sz="8" w:space="0"/>
            </w:tcBorders>
            <w:shd w:val="clear" w:color="auto" w:fill="auto"/>
            <w:vAlign w:val="center"/>
          </w:tcPr>
          <w:p w14:paraId="37F87B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按施工图要求完成本项工作任务（含机械、司机、辅助人员、燃油费用）</w:t>
            </w:r>
          </w:p>
        </w:tc>
        <w:tc>
          <w:tcPr>
            <w:tcW w:w="0" w:type="auto"/>
            <w:vMerge w:val="restart"/>
            <w:tcBorders>
              <w:top w:val="nil"/>
              <w:left w:val="nil"/>
              <w:bottom w:val="single" w:color="000000" w:sz="8" w:space="0"/>
              <w:right w:val="single" w:color="000000" w:sz="8" w:space="0"/>
            </w:tcBorders>
            <w:shd w:val="clear" w:color="auto" w:fill="auto"/>
            <w:vAlign w:val="center"/>
          </w:tcPr>
          <w:p w14:paraId="5E4A52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钢围檩、钢支撑、履带式起重机</w:t>
            </w:r>
          </w:p>
        </w:tc>
      </w:tr>
      <w:tr w14:paraId="24A5E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0" w:type="auto"/>
            <w:gridSpan w:val="2"/>
            <w:vMerge w:val="continue"/>
            <w:tcBorders>
              <w:top w:val="nil"/>
              <w:left w:val="single" w:color="000000" w:sz="8" w:space="0"/>
              <w:bottom w:val="single" w:color="000000" w:sz="8" w:space="0"/>
              <w:right w:val="single" w:color="000000" w:sz="8" w:space="0"/>
            </w:tcBorders>
            <w:shd w:val="clear" w:color="auto" w:fill="auto"/>
            <w:vAlign w:val="center"/>
          </w:tcPr>
          <w:p w14:paraId="0CEFDFEC">
            <w:pPr>
              <w:jc w:val="center"/>
              <w:rPr>
                <w:rFonts w:hint="eastAsia" w:ascii="宋体" w:hAnsi="宋体" w:eastAsia="宋体" w:cs="宋体"/>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auto"/>
            <w:vAlign w:val="center"/>
          </w:tcPr>
          <w:p w14:paraId="7F0E206B">
            <w:pPr>
              <w:jc w:val="center"/>
              <w:rPr>
                <w:rFonts w:hint="eastAsia" w:ascii="宋体" w:hAnsi="宋体" w:eastAsia="宋体" w:cs="宋体"/>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auto"/>
            <w:vAlign w:val="center"/>
          </w:tcPr>
          <w:p w14:paraId="3E6D3E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2、大型支撑安装、拆除 宽15m以内 拆除</w:t>
            </w:r>
          </w:p>
        </w:tc>
        <w:tc>
          <w:tcPr>
            <w:tcW w:w="0" w:type="auto"/>
            <w:vMerge w:val="continue"/>
            <w:tcBorders>
              <w:top w:val="nil"/>
              <w:left w:val="nil"/>
              <w:bottom w:val="single" w:color="000000" w:sz="8" w:space="0"/>
              <w:right w:val="single" w:color="000000" w:sz="8" w:space="0"/>
            </w:tcBorders>
            <w:shd w:val="clear" w:color="auto" w:fill="auto"/>
            <w:vAlign w:val="center"/>
          </w:tcPr>
          <w:p w14:paraId="7B9FDE4D">
            <w:pPr>
              <w:jc w:val="center"/>
              <w:rPr>
                <w:rFonts w:hint="eastAsia" w:ascii="宋体" w:hAnsi="宋体" w:eastAsia="宋体" w:cs="宋体"/>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auto"/>
            <w:vAlign w:val="center"/>
          </w:tcPr>
          <w:p w14:paraId="7EBA578D">
            <w:pPr>
              <w:jc w:val="center"/>
              <w:rPr>
                <w:rFonts w:hint="eastAsia" w:ascii="宋体" w:hAnsi="宋体" w:eastAsia="宋体" w:cs="宋体"/>
                <w:b/>
                <w:bCs/>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auto"/>
            <w:vAlign w:val="center"/>
          </w:tcPr>
          <w:p w14:paraId="181DD7DA">
            <w:pPr>
              <w:jc w:val="right"/>
              <w:rPr>
                <w:rFonts w:hint="eastAsia" w:ascii="宋体" w:hAnsi="宋体" w:eastAsia="宋体" w:cs="宋体"/>
                <w:b/>
                <w:bCs/>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FFFFFF"/>
            <w:noWrap/>
            <w:vAlign w:val="center"/>
          </w:tcPr>
          <w:p w14:paraId="088D65F1">
            <w:pPr>
              <w:jc w:val="right"/>
              <w:rPr>
                <w:rFonts w:hint="eastAsia" w:ascii="宋体" w:hAnsi="宋体" w:eastAsia="宋体" w:cs="宋体"/>
                <w:b/>
                <w:bCs/>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auto"/>
            <w:vAlign w:val="center"/>
          </w:tcPr>
          <w:p w14:paraId="43F51141">
            <w:pPr>
              <w:jc w:val="center"/>
              <w:rPr>
                <w:rFonts w:hint="eastAsia" w:ascii="宋体" w:hAnsi="宋体" w:eastAsia="宋体" w:cs="宋体"/>
                <w:i w:val="0"/>
                <w:iCs w:val="0"/>
                <w:color w:val="auto"/>
                <w:sz w:val="20"/>
                <w:szCs w:val="20"/>
                <w:u w:val="none"/>
              </w:rPr>
            </w:pPr>
          </w:p>
        </w:tc>
        <w:tc>
          <w:tcPr>
            <w:tcW w:w="0" w:type="auto"/>
            <w:vMerge w:val="continue"/>
            <w:tcBorders>
              <w:top w:val="nil"/>
              <w:left w:val="nil"/>
              <w:bottom w:val="single" w:color="000000" w:sz="8" w:space="0"/>
              <w:right w:val="single" w:color="000000" w:sz="8" w:space="0"/>
            </w:tcBorders>
            <w:shd w:val="clear" w:color="auto" w:fill="auto"/>
            <w:vAlign w:val="center"/>
          </w:tcPr>
          <w:p w14:paraId="420C1F44">
            <w:pPr>
              <w:jc w:val="center"/>
              <w:rPr>
                <w:rFonts w:hint="eastAsia" w:ascii="宋体" w:hAnsi="宋体" w:eastAsia="宋体" w:cs="宋体"/>
                <w:i w:val="0"/>
                <w:iCs w:val="0"/>
                <w:color w:val="auto"/>
                <w:sz w:val="18"/>
                <w:szCs w:val="18"/>
                <w:u w:val="none"/>
              </w:rPr>
            </w:pPr>
          </w:p>
        </w:tc>
      </w:tr>
      <w:tr w14:paraId="20099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0" w:type="auto"/>
            <w:gridSpan w:val="2"/>
            <w:tcBorders>
              <w:top w:val="nil"/>
              <w:left w:val="single" w:color="000000" w:sz="8" w:space="0"/>
              <w:bottom w:val="nil"/>
              <w:right w:val="single" w:color="000000" w:sz="8" w:space="0"/>
            </w:tcBorders>
            <w:shd w:val="clear" w:color="auto" w:fill="auto"/>
            <w:vAlign w:val="center"/>
          </w:tcPr>
          <w:p w14:paraId="4BD87B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0" w:type="auto"/>
            <w:tcBorders>
              <w:top w:val="nil"/>
              <w:left w:val="nil"/>
              <w:bottom w:val="nil"/>
              <w:right w:val="single" w:color="000000" w:sz="8" w:space="0"/>
            </w:tcBorders>
            <w:shd w:val="clear" w:color="auto" w:fill="auto"/>
            <w:vAlign w:val="center"/>
          </w:tcPr>
          <w:p w14:paraId="67BBF1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支撑安装、拆除</w:t>
            </w:r>
          </w:p>
        </w:tc>
        <w:tc>
          <w:tcPr>
            <w:tcW w:w="0" w:type="auto"/>
            <w:tcBorders>
              <w:top w:val="nil"/>
              <w:left w:val="nil"/>
              <w:bottom w:val="nil"/>
              <w:right w:val="single" w:color="000000" w:sz="8" w:space="0"/>
            </w:tcBorders>
            <w:shd w:val="clear" w:color="auto" w:fill="auto"/>
            <w:vAlign w:val="center"/>
          </w:tcPr>
          <w:p w14:paraId="0ED395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1、钢板桩支撑安、拆 宽度4m内</w:t>
            </w:r>
          </w:p>
        </w:tc>
        <w:tc>
          <w:tcPr>
            <w:tcW w:w="0" w:type="auto"/>
            <w:tcBorders>
              <w:top w:val="nil"/>
              <w:left w:val="nil"/>
              <w:bottom w:val="nil"/>
              <w:right w:val="single" w:color="000000" w:sz="8" w:space="0"/>
            </w:tcBorders>
            <w:shd w:val="clear" w:color="auto" w:fill="auto"/>
            <w:vAlign w:val="center"/>
          </w:tcPr>
          <w:p w14:paraId="266499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w:t>
            </w:r>
          </w:p>
        </w:tc>
        <w:tc>
          <w:tcPr>
            <w:tcW w:w="0" w:type="auto"/>
            <w:tcBorders>
              <w:top w:val="nil"/>
              <w:left w:val="nil"/>
              <w:bottom w:val="nil"/>
              <w:right w:val="single" w:color="000000" w:sz="8" w:space="0"/>
            </w:tcBorders>
            <w:shd w:val="clear" w:color="auto" w:fill="auto"/>
            <w:vAlign w:val="center"/>
          </w:tcPr>
          <w:p w14:paraId="2775965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526</w:t>
            </w:r>
          </w:p>
        </w:tc>
        <w:tc>
          <w:tcPr>
            <w:tcW w:w="0" w:type="auto"/>
            <w:tcBorders>
              <w:top w:val="nil"/>
              <w:left w:val="nil"/>
              <w:bottom w:val="nil"/>
              <w:right w:val="single" w:color="000000" w:sz="8" w:space="0"/>
            </w:tcBorders>
            <w:shd w:val="clear" w:color="auto" w:fill="auto"/>
            <w:vAlign w:val="center"/>
          </w:tcPr>
          <w:p w14:paraId="12E56783">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tcBorders>
              <w:top w:val="nil"/>
              <w:left w:val="nil"/>
              <w:bottom w:val="nil"/>
              <w:right w:val="single" w:color="000000" w:sz="8" w:space="0"/>
            </w:tcBorders>
            <w:shd w:val="clear" w:color="auto" w:fill="FFFFFF"/>
            <w:noWrap/>
            <w:vAlign w:val="center"/>
          </w:tcPr>
          <w:p w14:paraId="5B11E4DF">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tcBorders>
              <w:top w:val="nil"/>
              <w:left w:val="nil"/>
              <w:bottom w:val="nil"/>
              <w:right w:val="single" w:color="000000" w:sz="8" w:space="0"/>
            </w:tcBorders>
            <w:shd w:val="clear" w:color="auto" w:fill="auto"/>
            <w:vAlign w:val="center"/>
          </w:tcPr>
          <w:p w14:paraId="25D0C6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按施工图要求完成本项工作任务（含机械、司机、辅助人员、燃油费用）</w:t>
            </w:r>
          </w:p>
        </w:tc>
        <w:tc>
          <w:tcPr>
            <w:tcW w:w="0" w:type="auto"/>
            <w:tcBorders>
              <w:top w:val="nil"/>
              <w:left w:val="nil"/>
              <w:bottom w:val="nil"/>
              <w:right w:val="single" w:color="000000" w:sz="8" w:space="0"/>
            </w:tcBorders>
            <w:shd w:val="clear" w:color="auto" w:fill="auto"/>
            <w:vAlign w:val="center"/>
          </w:tcPr>
          <w:p w14:paraId="4B8CD9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钢围檩、钢支撑、履带式起重机</w:t>
            </w:r>
          </w:p>
        </w:tc>
      </w:tr>
      <w:tr w14:paraId="7A3EA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FFFFFF"/>
            <w:vAlign w:val="center"/>
          </w:tcPr>
          <w:p w14:paraId="4F0449C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不含税合计</w:t>
            </w:r>
          </w:p>
        </w:tc>
        <w:tc>
          <w:tcPr>
            <w:tcW w:w="0" w:type="auto"/>
            <w:tcBorders>
              <w:top w:val="single" w:color="000000" w:sz="8" w:space="0"/>
              <w:left w:val="nil"/>
              <w:bottom w:val="single" w:color="000000" w:sz="8" w:space="0"/>
              <w:right w:val="single" w:color="000000" w:sz="8" w:space="0"/>
            </w:tcBorders>
            <w:shd w:val="clear" w:color="auto" w:fill="FFFFFF"/>
            <w:noWrap/>
            <w:vAlign w:val="center"/>
          </w:tcPr>
          <w:p w14:paraId="14EE4E71">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62934805">
            <w:pPr>
              <w:jc w:val="center"/>
              <w:rPr>
                <w:rFonts w:hint="eastAsia" w:ascii="宋体" w:hAnsi="宋体" w:eastAsia="宋体" w:cs="宋体"/>
                <w:i w:val="0"/>
                <w:iCs w:val="0"/>
                <w:color w:val="auto"/>
                <w:sz w:val="22"/>
                <w:szCs w:val="22"/>
                <w:u w:val="none"/>
              </w:rPr>
            </w:pPr>
          </w:p>
        </w:tc>
        <w:tc>
          <w:tcPr>
            <w:tcW w:w="0" w:type="auto"/>
            <w:tcBorders>
              <w:top w:val="single" w:color="000000" w:sz="8" w:space="0"/>
              <w:left w:val="nil"/>
              <w:bottom w:val="single" w:color="000000" w:sz="8" w:space="0"/>
              <w:right w:val="single" w:color="000000" w:sz="8" w:space="0"/>
            </w:tcBorders>
            <w:shd w:val="clear" w:color="auto" w:fill="auto"/>
            <w:noWrap/>
            <w:vAlign w:val="center"/>
          </w:tcPr>
          <w:p w14:paraId="337651B6">
            <w:pPr>
              <w:jc w:val="center"/>
              <w:rPr>
                <w:rFonts w:hint="eastAsia" w:ascii="宋体" w:hAnsi="宋体" w:eastAsia="宋体" w:cs="宋体"/>
                <w:i w:val="0"/>
                <w:iCs w:val="0"/>
                <w:color w:val="auto"/>
                <w:sz w:val="22"/>
                <w:szCs w:val="22"/>
                <w:u w:val="none"/>
              </w:rPr>
            </w:pPr>
          </w:p>
        </w:tc>
      </w:tr>
      <w:tr w14:paraId="1DE57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gridSpan w:val="7"/>
            <w:tcBorders>
              <w:top w:val="nil"/>
              <w:left w:val="single" w:color="000000" w:sz="8" w:space="0"/>
              <w:bottom w:val="single" w:color="000000" w:sz="8" w:space="0"/>
              <w:right w:val="single" w:color="000000" w:sz="8" w:space="0"/>
            </w:tcBorders>
            <w:shd w:val="clear" w:color="auto" w:fill="FFFFFF"/>
            <w:vAlign w:val="center"/>
          </w:tcPr>
          <w:p w14:paraId="6A9C953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税金9%</w:t>
            </w:r>
          </w:p>
        </w:tc>
        <w:tc>
          <w:tcPr>
            <w:tcW w:w="0" w:type="auto"/>
            <w:tcBorders>
              <w:top w:val="nil"/>
              <w:left w:val="nil"/>
              <w:bottom w:val="single" w:color="000000" w:sz="8" w:space="0"/>
              <w:right w:val="single" w:color="000000" w:sz="8" w:space="0"/>
            </w:tcBorders>
            <w:shd w:val="clear" w:color="auto" w:fill="FFFFFF"/>
            <w:noWrap/>
            <w:vAlign w:val="center"/>
          </w:tcPr>
          <w:p w14:paraId="54CA57DC">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auto"/>
            <w:noWrap/>
            <w:vAlign w:val="center"/>
          </w:tcPr>
          <w:p w14:paraId="3D978EBC">
            <w:pPr>
              <w:jc w:val="center"/>
              <w:rPr>
                <w:rFonts w:hint="eastAsia" w:ascii="宋体" w:hAnsi="宋体" w:eastAsia="宋体" w:cs="宋体"/>
                <w:i w:val="0"/>
                <w:iCs w:val="0"/>
                <w:color w:val="auto"/>
                <w:sz w:val="22"/>
                <w:szCs w:val="22"/>
                <w:u w:val="none"/>
              </w:rPr>
            </w:pPr>
          </w:p>
        </w:tc>
        <w:tc>
          <w:tcPr>
            <w:tcW w:w="0" w:type="auto"/>
            <w:tcBorders>
              <w:top w:val="nil"/>
              <w:left w:val="nil"/>
              <w:bottom w:val="single" w:color="000000" w:sz="8" w:space="0"/>
              <w:right w:val="single" w:color="000000" w:sz="8" w:space="0"/>
            </w:tcBorders>
            <w:shd w:val="clear" w:color="auto" w:fill="auto"/>
            <w:noWrap/>
            <w:vAlign w:val="center"/>
          </w:tcPr>
          <w:p w14:paraId="0BBDCB15">
            <w:pPr>
              <w:jc w:val="center"/>
              <w:rPr>
                <w:rFonts w:hint="eastAsia" w:ascii="宋体" w:hAnsi="宋体" w:eastAsia="宋体" w:cs="宋体"/>
                <w:i w:val="0"/>
                <w:iCs w:val="0"/>
                <w:color w:val="auto"/>
                <w:sz w:val="22"/>
                <w:szCs w:val="22"/>
                <w:u w:val="none"/>
              </w:rPr>
            </w:pPr>
          </w:p>
        </w:tc>
      </w:tr>
      <w:tr w14:paraId="60B00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gridSpan w:val="7"/>
            <w:tcBorders>
              <w:top w:val="nil"/>
              <w:left w:val="single" w:color="000000" w:sz="8" w:space="0"/>
              <w:bottom w:val="single" w:color="000000" w:sz="8" w:space="0"/>
              <w:right w:val="single" w:color="000000" w:sz="8" w:space="0"/>
            </w:tcBorders>
            <w:shd w:val="clear" w:color="auto" w:fill="FFFFFF"/>
            <w:vAlign w:val="center"/>
          </w:tcPr>
          <w:p w14:paraId="5DDEAEA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含税合计</w:t>
            </w:r>
          </w:p>
        </w:tc>
        <w:tc>
          <w:tcPr>
            <w:tcW w:w="0" w:type="auto"/>
            <w:tcBorders>
              <w:top w:val="nil"/>
              <w:left w:val="nil"/>
              <w:bottom w:val="single" w:color="000000" w:sz="8" w:space="0"/>
              <w:right w:val="single" w:color="000000" w:sz="8" w:space="0"/>
            </w:tcBorders>
            <w:shd w:val="clear" w:color="auto" w:fill="FFFFFF"/>
            <w:noWrap/>
            <w:vAlign w:val="center"/>
          </w:tcPr>
          <w:p w14:paraId="694CF13B">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p>
        </w:tc>
        <w:tc>
          <w:tcPr>
            <w:tcW w:w="0" w:type="auto"/>
            <w:tcBorders>
              <w:top w:val="nil"/>
              <w:left w:val="nil"/>
              <w:bottom w:val="single" w:color="000000" w:sz="8" w:space="0"/>
              <w:right w:val="single" w:color="000000" w:sz="8" w:space="0"/>
            </w:tcBorders>
            <w:shd w:val="clear" w:color="auto" w:fill="auto"/>
            <w:noWrap/>
            <w:vAlign w:val="center"/>
          </w:tcPr>
          <w:p w14:paraId="0E800CDB">
            <w:pPr>
              <w:jc w:val="center"/>
              <w:rPr>
                <w:rFonts w:hint="eastAsia" w:ascii="宋体" w:hAnsi="宋体" w:eastAsia="宋体" w:cs="宋体"/>
                <w:i w:val="0"/>
                <w:iCs w:val="0"/>
                <w:color w:val="auto"/>
                <w:sz w:val="22"/>
                <w:szCs w:val="22"/>
                <w:u w:val="none"/>
              </w:rPr>
            </w:pPr>
          </w:p>
        </w:tc>
        <w:tc>
          <w:tcPr>
            <w:tcW w:w="0" w:type="auto"/>
            <w:tcBorders>
              <w:top w:val="nil"/>
              <w:left w:val="nil"/>
              <w:bottom w:val="single" w:color="000000" w:sz="8" w:space="0"/>
              <w:right w:val="single" w:color="000000" w:sz="8" w:space="0"/>
            </w:tcBorders>
            <w:shd w:val="clear" w:color="auto" w:fill="auto"/>
            <w:noWrap/>
            <w:vAlign w:val="center"/>
          </w:tcPr>
          <w:p w14:paraId="39FB6B62">
            <w:pPr>
              <w:jc w:val="center"/>
              <w:rPr>
                <w:rFonts w:hint="eastAsia" w:ascii="宋体" w:hAnsi="宋体" w:eastAsia="宋体" w:cs="宋体"/>
                <w:i w:val="0"/>
                <w:iCs w:val="0"/>
                <w:color w:val="auto"/>
                <w:sz w:val="22"/>
                <w:szCs w:val="22"/>
                <w:u w:val="none"/>
              </w:rPr>
            </w:pPr>
          </w:p>
        </w:tc>
      </w:tr>
      <w:tr w14:paraId="4C927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gridSpan w:val="10"/>
            <w:tcBorders>
              <w:top w:val="nil"/>
              <w:left w:val="single" w:color="000000" w:sz="8" w:space="0"/>
              <w:bottom w:val="nil"/>
              <w:right w:val="single" w:color="000000" w:sz="8" w:space="0"/>
            </w:tcBorders>
            <w:shd w:val="clear" w:color="auto" w:fill="auto"/>
            <w:noWrap/>
            <w:vAlign w:val="center"/>
          </w:tcPr>
          <w:p w14:paraId="2C022E9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备注：含钢板桩材料及机械租赁费、燃油费、机上人工。</w:t>
            </w:r>
          </w:p>
        </w:tc>
      </w:tr>
      <w:tr w14:paraId="27F93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8CF2B42">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5BC9BA2">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411657A5">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71BDB69">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0C128F79">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2E3899B2">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1DBA7260">
            <w:pPr>
              <w:rPr>
                <w:rFonts w:hint="eastAsia" w:ascii="宋体" w:hAnsi="宋体" w:eastAsia="宋体" w:cs="宋体"/>
                <w:i w:val="0"/>
                <w:iCs w:val="0"/>
                <w:color w:val="auto"/>
                <w:sz w:val="22"/>
                <w:szCs w:val="22"/>
                <w:u w:val="none"/>
              </w:rPr>
            </w:pPr>
          </w:p>
        </w:tc>
        <w:tc>
          <w:tcPr>
            <w:tcW w:w="0" w:type="auto"/>
            <w:gridSpan w:val="3"/>
            <w:tcBorders>
              <w:top w:val="single" w:color="000000" w:sz="4" w:space="0"/>
              <w:left w:val="nil"/>
              <w:bottom w:val="single" w:color="000000" w:sz="4" w:space="0"/>
              <w:right w:val="single" w:color="000000" w:sz="4" w:space="0"/>
            </w:tcBorders>
            <w:shd w:val="clear" w:color="auto" w:fill="auto"/>
            <w:noWrap/>
            <w:vAlign w:val="center"/>
          </w:tcPr>
          <w:p w14:paraId="0615762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报价单位：</w:t>
            </w:r>
          </w:p>
        </w:tc>
      </w:tr>
      <w:tr w14:paraId="0E219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EBCF479">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14BF0D7">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4C73A4BF">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4DCF3C6">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170E1E3F">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30AA2749">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B9433E8">
            <w:pPr>
              <w:rPr>
                <w:rFonts w:hint="eastAsia" w:ascii="宋体" w:hAnsi="宋体" w:eastAsia="宋体" w:cs="宋体"/>
                <w:i w:val="0"/>
                <w:iCs w:val="0"/>
                <w:color w:val="auto"/>
                <w:sz w:val="22"/>
                <w:szCs w:val="22"/>
                <w:u w:val="none"/>
              </w:rPr>
            </w:pPr>
          </w:p>
        </w:tc>
        <w:tc>
          <w:tcPr>
            <w:tcW w:w="0" w:type="auto"/>
            <w:gridSpan w:val="3"/>
            <w:tcBorders>
              <w:top w:val="single" w:color="000000" w:sz="4" w:space="0"/>
              <w:left w:val="nil"/>
              <w:bottom w:val="single" w:color="000000" w:sz="4" w:space="0"/>
              <w:right w:val="single" w:color="000000" w:sz="4" w:space="0"/>
            </w:tcBorders>
            <w:shd w:val="clear" w:color="auto" w:fill="auto"/>
            <w:noWrap/>
            <w:vAlign w:val="center"/>
          </w:tcPr>
          <w:p w14:paraId="10BFAB9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报价日期：</w:t>
            </w:r>
          </w:p>
        </w:tc>
      </w:tr>
      <w:tr w14:paraId="61F7C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4DF41786">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151BEDB">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13F39596">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469D868E">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262398C5">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2CADE633">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E957F3B">
            <w:pPr>
              <w:rPr>
                <w:rFonts w:hint="eastAsia" w:ascii="宋体" w:hAnsi="宋体" w:eastAsia="宋体" w:cs="宋体"/>
                <w:i w:val="0"/>
                <w:iCs w:val="0"/>
                <w:color w:val="auto"/>
                <w:sz w:val="22"/>
                <w:szCs w:val="22"/>
                <w:u w:val="none"/>
              </w:rPr>
            </w:pPr>
          </w:p>
        </w:tc>
        <w:tc>
          <w:tcPr>
            <w:tcW w:w="0" w:type="auto"/>
            <w:gridSpan w:val="3"/>
            <w:tcBorders>
              <w:top w:val="single" w:color="000000" w:sz="4" w:space="0"/>
              <w:left w:val="nil"/>
              <w:bottom w:val="single" w:color="000000" w:sz="4" w:space="0"/>
              <w:right w:val="single" w:color="000000" w:sz="4" w:space="0"/>
            </w:tcBorders>
            <w:shd w:val="clear" w:color="auto" w:fill="auto"/>
            <w:vAlign w:val="center"/>
          </w:tcPr>
          <w:p w14:paraId="7A860CF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联系人：</w:t>
            </w:r>
          </w:p>
        </w:tc>
      </w:tr>
      <w:tr w14:paraId="4F85F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60EF561">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5094B677">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4FE10FDB">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0FC315DA">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46717D6E">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7D98C0E5">
            <w:pPr>
              <w:rPr>
                <w:rFonts w:hint="eastAsia" w:ascii="宋体" w:hAnsi="宋体" w:eastAsia="宋体" w:cs="宋体"/>
                <w:i w:val="0"/>
                <w:iCs w:val="0"/>
                <w:color w:val="auto"/>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4BCEF83C">
            <w:pPr>
              <w:rPr>
                <w:rFonts w:hint="eastAsia" w:ascii="宋体" w:hAnsi="宋体" w:eastAsia="宋体" w:cs="宋体"/>
                <w:i w:val="0"/>
                <w:iCs w:val="0"/>
                <w:color w:val="auto"/>
                <w:sz w:val="22"/>
                <w:szCs w:val="22"/>
                <w:u w:val="none"/>
              </w:rPr>
            </w:pPr>
          </w:p>
        </w:tc>
        <w:tc>
          <w:tcPr>
            <w:tcW w:w="0" w:type="auto"/>
            <w:gridSpan w:val="3"/>
            <w:tcBorders>
              <w:top w:val="single" w:color="000000" w:sz="4" w:space="0"/>
              <w:left w:val="nil"/>
              <w:bottom w:val="single" w:color="000000" w:sz="4" w:space="0"/>
              <w:right w:val="single" w:color="000000" w:sz="4" w:space="0"/>
            </w:tcBorders>
            <w:shd w:val="clear" w:color="auto" w:fill="auto"/>
            <w:noWrap/>
            <w:vAlign w:val="center"/>
          </w:tcPr>
          <w:p w14:paraId="762A3E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联系号码：</w:t>
            </w:r>
          </w:p>
        </w:tc>
      </w:tr>
    </w:tbl>
    <w:p w14:paraId="53F2B40B">
      <w:pPr>
        <w:rPr>
          <w:rFonts w:hint="eastAsia" w:ascii="宋体" w:hAnsi="宋体" w:eastAsia="宋体" w:cs="宋体"/>
          <w:color w:val="auto"/>
          <w:sz w:val="20"/>
          <w:szCs w:val="20"/>
          <w:highlight w:val="none"/>
          <w:lang w:val="zh-CN" w:eastAsia="zh-CN" w:bidi="zh-CN"/>
        </w:rPr>
      </w:pPr>
    </w:p>
    <w:p w14:paraId="3E01BDBC">
      <w:pPr>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color w:val="auto"/>
          <w:sz w:val="20"/>
          <w:szCs w:val="20"/>
          <w:highlight w:val="none"/>
          <w:lang w:eastAsia="zh-CN"/>
        </w:rPr>
        <w:br w:type="page"/>
      </w: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645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33A7409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32470"/>
      <w:r>
        <w:rPr>
          <w:rFonts w:hint="eastAsia" w:ascii="宋体" w:hAnsi="宋体" w:eastAsia="宋体" w:cs="宋体"/>
          <w:b/>
          <w:bCs/>
          <w:color w:val="auto"/>
          <w:kern w:val="0"/>
          <w:sz w:val="32"/>
          <w:szCs w:val="32"/>
          <w:highlight w:val="none"/>
          <w:lang w:val="en-US" w:eastAsia="zh-CN"/>
        </w:rPr>
        <w:t>合同主要条款</w:t>
      </w:r>
      <w:bookmarkEnd w:id="15"/>
    </w:p>
    <w:p w14:paraId="084C65B3">
      <w:pPr>
        <w:widowControl w:val="0"/>
        <w:spacing w:before="240" w:after="60"/>
        <w:jc w:val="center"/>
        <w:outlineLvl w:val="9"/>
        <w:rPr>
          <w:rFonts w:hint="eastAsia" w:ascii="仿宋" w:hAnsi="仿宋" w:eastAsia="仿宋" w:cs="Times New Roman"/>
          <w:b/>
          <w:bCs/>
          <w:kern w:val="2"/>
          <w:sz w:val="36"/>
          <w:szCs w:val="36"/>
          <w:lang w:val="en-US" w:eastAsia="zh-CN" w:bidi="ar-SA"/>
        </w:rPr>
      </w:pPr>
      <w:r>
        <w:rPr>
          <w:rFonts w:hint="eastAsia" w:ascii="仿宋" w:hAnsi="仿宋" w:eastAsia="仿宋" w:cs="Times New Roman"/>
          <w:b/>
          <w:bCs/>
          <w:kern w:val="2"/>
          <w:sz w:val="36"/>
          <w:szCs w:val="36"/>
          <w:lang w:val="en-US" w:eastAsia="zh-CN" w:bidi="ar-SA"/>
        </w:rPr>
        <w:t>钢板桩机械及材料租赁合同</w:t>
      </w:r>
    </w:p>
    <w:p w14:paraId="610E134D">
      <w:pPr>
        <w:autoSpaceDE w:val="0"/>
        <w:autoSpaceDN w:val="0"/>
        <w:spacing w:line="360" w:lineRule="auto"/>
        <w:ind w:right="0" w:rightChars="0"/>
        <w:jc w:val="center"/>
        <w:rPr>
          <w:rFonts w:hint="eastAsia" w:ascii="仿宋" w:hAnsi="仿宋" w:eastAsia="仿宋" w:cs="Times New Roman"/>
          <w:sz w:val="24"/>
        </w:rPr>
      </w:pPr>
      <w:r>
        <w:rPr>
          <w:rFonts w:hint="eastAsia" w:ascii="仿宋" w:hAnsi="仿宋" w:eastAsia="仿宋" w:cs="Times New Roman"/>
          <w:sz w:val="24"/>
          <w:lang w:val="en-US" w:eastAsia="zh-CN"/>
        </w:rPr>
        <w:t xml:space="preserve">                                            </w:t>
      </w:r>
      <w:r>
        <w:rPr>
          <w:rFonts w:hint="eastAsia" w:ascii="仿宋" w:hAnsi="仿宋" w:eastAsia="仿宋" w:cs="Times New Roman"/>
          <w:sz w:val="24"/>
        </w:rPr>
        <w:t>合同编号：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                     </w:t>
      </w:r>
    </w:p>
    <w:p w14:paraId="637C1DC2">
      <w:pPr>
        <w:autoSpaceDE w:val="0"/>
        <w:autoSpaceDN w:val="0"/>
        <w:spacing w:line="360" w:lineRule="auto"/>
        <w:ind w:firstLine="0" w:firstLineChars="0"/>
        <w:rPr>
          <w:rFonts w:hint="default" w:ascii="仿宋" w:hAnsi="仿宋" w:eastAsia="仿宋" w:cs="Times New Roman"/>
          <w:sz w:val="24"/>
          <w:u w:val="single"/>
          <w:lang w:val="en-US" w:eastAsia="zh-CN"/>
        </w:rPr>
      </w:pPr>
      <w:r>
        <w:rPr>
          <w:rFonts w:hint="eastAsia" w:ascii="仿宋" w:hAnsi="仿宋" w:eastAsia="仿宋" w:cs="Times New Roman"/>
          <w:sz w:val="24"/>
          <w:lang w:val="zh-CN"/>
        </w:rPr>
        <w:t>甲方</w:t>
      </w:r>
      <w:r>
        <w:rPr>
          <w:rFonts w:hint="eastAsia" w:ascii="仿宋" w:hAnsi="仿宋" w:eastAsia="仿宋" w:cs="Times New Roman"/>
          <w:sz w:val="24"/>
        </w:rPr>
        <w:t>（承租方）</w:t>
      </w:r>
      <w:r>
        <w:rPr>
          <w:rFonts w:hint="eastAsia" w:ascii="仿宋" w:hAnsi="仿宋" w:eastAsia="仿宋" w:cs="Times New Roman"/>
          <w:sz w:val="24"/>
          <w:lang w:val="zh-CN"/>
        </w:rPr>
        <w:t>：</w:t>
      </w:r>
      <w:r>
        <w:rPr>
          <w:rFonts w:hint="eastAsia" w:ascii="仿宋" w:hAnsi="仿宋" w:eastAsia="仿宋" w:cs="Times New Roman"/>
          <w:sz w:val="24"/>
          <w:u w:val="single"/>
          <w:lang w:val="en-US" w:eastAsia="zh-CN"/>
        </w:rPr>
        <w:t xml:space="preserve">         </w:t>
      </w:r>
    </w:p>
    <w:p w14:paraId="77FBD72C">
      <w:pPr>
        <w:autoSpaceDE w:val="0"/>
        <w:autoSpaceDN w:val="0"/>
        <w:spacing w:line="360" w:lineRule="auto"/>
        <w:ind w:firstLine="0" w:firstLineChars="0"/>
        <w:rPr>
          <w:rFonts w:hint="eastAsia" w:ascii="仿宋" w:hAnsi="仿宋" w:eastAsia="仿宋" w:cs="Times New Roman"/>
          <w:sz w:val="24"/>
          <w:lang w:val="zh-CN"/>
        </w:rPr>
      </w:pPr>
      <w:r>
        <w:rPr>
          <w:rFonts w:hint="eastAsia" w:ascii="仿宋" w:hAnsi="仿宋" w:eastAsia="仿宋" w:cs="Times New Roman"/>
          <w:sz w:val="24"/>
          <w:lang w:val="zh-CN"/>
        </w:rPr>
        <w:t>乙方</w:t>
      </w:r>
      <w:r>
        <w:rPr>
          <w:rFonts w:hint="eastAsia" w:ascii="仿宋" w:hAnsi="仿宋" w:eastAsia="仿宋" w:cs="Times New Roman"/>
          <w:sz w:val="24"/>
        </w:rPr>
        <w:t>（</w:t>
      </w:r>
      <w:r>
        <w:rPr>
          <w:rFonts w:hint="eastAsia" w:ascii="仿宋" w:hAnsi="仿宋" w:eastAsia="仿宋" w:cs="Times New Roman"/>
          <w:sz w:val="24"/>
          <w:lang w:val="zh-CN"/>
        </w:rPr>
        <w:t>出租方）：</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lang w:val="zh-CN"/>
        </w:rPr>
        <w:t xml:space="preserve">         </w:t>
      </w:r>
    </w:p>
    <w:p w14:paraId="3483F8C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甲方因</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none"/>
        </w:rPr>
        <w:t xml:space="preserve">需要租赁乙方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为了明确双方权利义务关系，甲、乙双方本着自愿、公平、平等互利的原则，经协商一致，达成如下协议：</w:t>
      </w:r>
    </w:p>
    <w:p w14:paraId="4BADD478">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一、租赁工程设备</w:t>
      </w:r>
      <w:r>
        <w:rPr>
          <w:rFonts w:hint="eastAsia" w:ascii="仿宋" w:hAnsi="仿宋" w:eastAsia="仿宋" w:cs="Times New Roman"/>
          <w:b/>
          <w:sz w:val="24"/>
          <w:lang w:eastAsia="zh-CN"/>
        </w:rPr>
        <w:t>、</w:t>
      </w:r>
      <w:r>
        <w:rPr>
          <w:rFonts w:hint="eastAsia" w:ascii="仿宋" w:hAnsi="仿宋" w:eastAsia="仿宋" w:cs="Times New Roman"/>
          <w:b/>
          <w:sz w:val="24"/>
          <w:lang w:val="en-US" w:eastAsia="zh-CN"/>
        </w:rPr>
        <w:t>材料</w:t>
      </w:r>
      <w:r>
        <w:rPr>
          <w:rFonts w:hint="eastAsia" w:ascii="仿宋" w:hAnsi="仿宋" w:eastAsia="仿宋" w:cs="Times New Roman"/>
          <w:b/>
          <w:sz w:val="24"/>
        </w:rPr>
        <w:t>概况：</w:t>
      </w:r>
    </w:p>
    <w:p w14:paraId="7D29E72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设备名称：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w:t>
      </w:r>
    </w:p>
    <w:p w14:paraId="2B62F63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设备型号：  </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6A76C9A8">
      <w:pPr>
        <w:spacing w:line="360" w:lineRule="auto"/>
        <w:ind w:firstLine="480" w:firstLineChars="200"/>
        <w:rPr>
          <w:rFonts w:hint="default" w:ascii="仿宋" w:hAnsi="仿宋" w:eastAsia="仿宋" w:cs="Times New Roman"/>
          <w:sz w:val="24"/>
          <w:u w:val="single"/>
          <w:lang w:val="en-US" w:eastAsia="zh-CN"/>
        </w:rPr>
      </w:pPr>
      <w:r>
        <w:rPr>
          <w:rFonts w:hint="eastAsia" w:ascii="仿宋" w:hAnsi="仿宋" w:eastAsia="仿宋" w:cs="Times New Roman"/>
          <w:sz w:val="24"/>
        </w:rPr>
        <w:t xml:space="preserve">设备生产厂家（品牌）：  </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p>
    <w:p w14:paraId="38228E6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租赁设备情况：</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成新</w:t>
      </w:r>
    </w:p>
    <w:p w14:paraId="77CE261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租赁设备应备资料：随机附设备的操作手册、保养手册、合格证，设备使用记录。</w:t>
      </w:r>
    </w:p>
    <w:p w14:paraId="47416A70">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lang w:val="en-US" w:eastAsia="zh-CN"/>
        </w:rPr>
        <w:t>材料名称：</w:t>
      </w:r>
      <w:r>
        <w:rPr>
          <w:rFonts w:hint="eastAsia" w:ascii="仿宋" w:hAnsi="仿宋" w:eastAsia="仿宋" w:cs="Times New Roman"/>
          <w:sz w:val="24"/>
          <w:u w:val="single"/>
          <w:lang w:val="en-US" w:eastAsia="zh-CN"/>
        </w:rPr>
        <w:t xml:space="preserve">               </w:t>
      </w:r>
    </w:p>
    <w:p w14:paraId="25BB3093">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二、使用的工程项目：</w:t>
      </w:r>
    </w:p>
    <w:p w14:paraId="1965D466">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1、本设备仅限</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项目施</w:t>
      </w:r>
      <w:r>
        <w:rPr>
          <w:rFonts w:hint="eastAsia" w:ascii="仿宋" w:hAnsi="仿宋" w:eastAsia="仿宋" w:cs="Times New Roman"/>
          <w:bCs/>
          <w:sz w:val="24"/>
          <w:u w:val="single"/>
          <w:lang w:val="en-US" w:eastAsia="zh-CN"/>
        </w:rPr>
        <w:t>工</w:t>
      </w:r>
      <w:r>
        <w:rPr>
          <w:rFonts w:hint="eastAsia" w:ascii="仿宋" w:hAnsi="仿宋" w:eastAsia="仿宋" w:cs="Times New Roman"/>
          <w:bCs/>
          <w:sz w:val="24"/>
        </w:rPr>
        <w:t>使用；</w:t>
      </w:r>
    </w:p>
    <w:p w14:paraId="42B64F80">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sz w:val="24"/>
        </w:rPr>
        <w:t>2、所租设</w:t>
      </w:r>
      <w:r>
        <w:rPr>
          <w:rFonts w:hint="eastAsia" w:ascii="仿宋" w:hAnsi="仿宋" w:eastAsia="仿宋" w:cs="Times New Roman"/>
          <w:bCs/>
          <w:color w:val="auto"/>
          <w:sz w:val="24"/>
        </w:rPr>
        <w:t>备如变更使用的工程项目，甲方应该提前</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u w:val="single"/>
          <w:lang w:val="en-US" w:eastAsia="zh-CN"/>
        </w:rPr>
        <w:t xml:space="preserve"> </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rPr>
        <w:t>天以书面形式通知乙方，双方协商并达成一致意见后，另签合同。</w:t>
      </w:r>
    </w:p>
    <w:p w14:paraId="74FA2F99">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三、租赁期限：</w:t>
      </w:r>
    </w:p>
    <w:p w14:paraId="79D87E9D">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color w:val="auto"/>
          <w:sz w:val="24"/>
        </w:rPr>
        <w:t>1、</w:t>
      </w:r>
      <w:r>
        <w:rPr>
          <w:rFonts w:hint="eastAsia" w:ascii="仿宋" w:hAnsi="仿宋" w:eastAsia="仿宋" w:cs="Times New Roman"/>
          <w:color w:val="auto"/>
          <w:sz w:val="24"/>
        </w:rPr>
        <w:t>租期自</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日至</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日，具体进场时间以甲方通知为准。</w:t>
      </w:r>
      <w:r>
        <w:rPr>
          <w:rFonts w:hint="eastAsia" w:ascii="仿宋" w:hAnsi="仿宋" w:eastAsia="仿宋" w:cs="Times New Roman"/>
          <w:color w:val="auto"/>
          <w:sz w:val="24"/>
          <w:lang w:val="en-US" w:eastAsia="zh-CN"/>
        </w:rPr>
        <w:t>以《</w:t>
      </w:r>
      <w:r>
        <w:rPr>
          <w:rFonts w:hint="eastAsia" w:ascii="仿宋" w:hAnsi="仿宋" w:eastAsia="仿宋" w:cs="Times New Roman"/>
          <w:color w:val="auto"/>
          <w:sz w:val="24"/>
        </w:rPr>
        <w:t>租赁价格清单表</w:t>
      </w:r>
      <w:r>
        <w:rPr>
          <w:rFonts w:hint="eastAsia" w:ascii="仿宋" w:hAnsi="仿宋" w:eastAsia="仿宋" w:cs="Times New Roman"/>
          <w:color w:val="auto"/>
          <w:sz w:val="24"/>
          <w:lang w:eastAsia="zh-CN"/>
        </w:rPr>
        <w:t>》</w:t>
      </w:r>
      <w:r>
        <w:rPr>
          <w:rFonts w:hint="eastAsia" w:ascii="仿宋" w:hAnsi="仿宋" w:eastAsia="仿宋" w:cs="Times New Roman"/>
          <w:color w:val="auto"/>
          <w:sz w:val="24"/>
          <w:lang w:val="en-US" w:eastAsia="zh-CN"/>
        </w:rPr>
        <w:t>约定的计价方式以数量*单价的形式结算</w:t>
      </w:r>
      <w:r>
        <w:rPr>
          <w:rFonts w:hint="eastAsia" w:ascii="仿宋" w:hAnsi="仿宋" w:eastAsia="仿宋" w:cs="Times New Roman"/>
          <w:color w:val="auto"/>
          <w:sz w:val="24"/>
        </w:rPr>
        <w:t>。</w:t>
      </w:r>
    </w:p>
    <w:p w14:paraId="5D004859">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color w:val="auto"/>
          <w:sz w:val="24"/>
        </w:rPr>
        <w:t>2、租期届满前</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u w:val="single"/>
          <w:lang w:val="en-US" w:eastAsia="zh-CN"/>
        </w:rPr>
        <w:t xml:space="preserve">  </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rPr>
        <w:t>天，甲方应及</w:t>
      </w:r>
      <w:r>
        <w:rPr>
          <w:rFonts w:hint="eastAsia" w:ascii="仿宋" w:hAnsi="仿宋" w:eastAsia="仿宋" w:cs="Times New Roman"/>
          <w:bCs/>
          <w:sz w:val="24"/>
        </w:rPr>
        <w:t>时书面通知乙方止租或续租。止租日期确定后，租金不再计算。如乙方未按甲方通知时间接收设备，设备暂由甲方保管，逾期接收所产生的设备保管费由乙方承担。设备保管费用以</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元/日/件</w:t>
      </w:r>
      <w:r>
        <w:rPr>
          <w:rFonts w:hint="eastAsia" w:ascii="仿宋" w:hAnsi="仿宋" w:eastAsia="仿宋" w:cs="Times New Roman"/>
          <w:bCs/>
          <w:sz w:val="24"/>
        </w:rPr>
        <w:t>计算，该部分费用甲方有权在最终结算时于应付租赁费中予以扣除。</w:t>
      </w:r>
    </w:p>
    <w:p w14:paraId="1BC44CA7">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四、结算、付款、发票约定</w:t>
      </w:r>
    </w:p>
    <w:p w14:paraId="2CD576B9">
      <w:pPr>
        <w:spacing w:line="400" w:lineRule="exact"/>
        <w:ind w:firstLine="480" w:firstLineChars="200"/>
        <w:jc w:val="left"/>
        <w:rPr>
          <w:rFonts w:hint="eastAsia" w:ascii="仿宋" w:hAnsi="仿宋" w:eastAsia="仿宋" w:cs="Times New Roman"/>
          <w:sz w:val="24"/>
        </w:rPr>
      </w:pPr>
      <w:r>
        <w:rPr>
          <w:rFonts w:hint="eastAsia" w:ascii="仿宋" w:hAnsi="仿宋" w:eastAsia="仿宋" w:cs="Times New Roman"/>
          <w:sz w:val="24"/>
        </w:rPr>
        <w:t>1、租金支付：</w:t>
      </w:r>
    </w:p>
    <w:p w14:paraId="462EA84D">
      <w:pPr>
        <w:spacing w:line="360" w:lineRule="auto"/>
        <w:ind w:firstLine="480" w:firstLineChars="200"/>
        <w:jc w:val="left"/>
        <w:rPr>
          <w:rFonts w:ascii="仿宋" w:hAnsi="仿宋" w:eastAsia="仿宋" w:cs="Times New Roman"/>
          <w:color w:val="auto"/>
          <w:sz w:val="24"/>
        </w:rPr>
      </w:pPr>
      <w:r>
        <w:rPr>
          <w:rFonts w:hint="eastAsia" w:ascii="仿宋" w:hAnsi="仿宋" w:eastAsia="仿宋" w:cs="Times New Roman"/>
          <w:sz w:val="24"/>
          <w:lang w:val="en-US" w:eastAsia="zh-CN"/>
        </w:rPr>
        <w:t>租金进度款</w:t>
      </w:r>
      <w:r>
        <w:rPr>
          <w:rFonts w:hint="eastAsia" w:ascii="仿宋" w:hAnsi="仿宋" w:eastAsia="仿宋" w:cs="Times New Roman"/>
          <w:sz w:val="24"/>
        </w:rPr>
        <w:t>按</w:t>
      </w:r>
      <w:r>
        <w:rPr>
          <w:rFonts w:hint="eastAsia" w:ascii="仿宋" w:hAnsi="仿宋" w:eastAsia="仿宋" w:cs="Times New Roman"/>
          <w:sz w:val="24"/>
          <w:lang w:val="en-US" w:eastAsia="zh-CN"/>
        </w:rPr>
        <w:t>完成</w:t>
      </w:r>
      <w:r>
        <w:rPr>
          <w:rFonts w:hint="eastAsia" w:ascii="仿宋" w:hAnsi="仿宋" w:eastAsia="仿宋" w:cs="Times New Roman"/>
          <w:color w:val="auto"/>
          <w:sz w:val="24"/>
          <w:lang w:val="en-US" w:eastAsia="zh-CN"/>
        </w:rPr>
        <w:t>数量进行</w:t>
      </w:r>
      <w:r>
        <w:rPr>
          <w:rFonts w:hint="eastAsia" w:ascii="仿宋" w:hAnsi="仿宋" w:eastAsia="仿宋" w:cs="Times New Roman"/>
          <w:color w:val="auto"/>
          <w:sz w:val="24"/>
        </w:rPr>
        <w:t>结算：按照甲乙双方实际确认使用</w:t>
      </w:r>
      <w:r>
        <w:rPr>
          <w:rFonts w:hint="eastAsia" w:ascii="仿宋" w:hAnsi="仿宋" w:eastAsia="仿宋" w:cs="Times New Roman"/>
          <w:color w:val="auto"/>
          <w:sz w:val="24"/>
          <w:lang w:val="en-US" w:eastAsia="zh-CN"/>
        </w:rPr>
        <w:t>数量</w:t>
      </w:r>
      <w:r>
        <w:rPr>
          <w:rFonts w:hint="eastAsia" w:ascii="仿宋" w:hAnsi="仿宋" w:eastAsia="仿宋" w:cs="Times New Roman"/>
          <w:color w:val="auto"/>
          <w:sz w:val="24"/>
        </w:rPr>
        <w:t>为准。</w:t>
      </w:r>
    </w:p>
    <w:p w14:paraId="4E9E11CB">
      <w:pPr>
        <w:spacing w:line="360" w:lineRule="auto"/>
        <w:ind w:firstLine="480" w:firstLineChars="200"/>
        <w:jc w:val="left"/>
        <w:rPr>
          <w:rFonts w:hint="eastAsia" w:ascii="仿宋" w:hAnsi="仿宋" w:eastAsia="仿宋" w:cs="Times New Roman"/>
          <w:sz w:val="24"/>
          <w:highlight w:val="none"/>
        </w:rPr>
      </w:pPr>
      <w:r>
        <w:rPr>
          <w:rFonts w:hint="eastAsia" w:ascii="仿宋" w:hAnsi="仿宋" w:eastAsia="仿宋" w:cs="Times New Roman"/>
          <w:color w:val="auto"/>
          <w:sz w:val="24"/>
          <w:highlight w:val="none"/>
        </w:rPr>
        <w:t>本合同的暂定（含税）总价为人民币</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元（大写：</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），其中不含增值税总价</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元（大写：</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），增值税</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元（大写：</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），增值税按不含增值税总价的</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rPr>
        <w:t>单列</w:t>
      </w:r>
      <w:r>
        <w:rPr>
          <w:rStyle w:val="11"/>
          <w:rFonts w:hint="eastAsia" w:ascii="仿宋" w:hAnsi="仿宋" w:eastAsia="仿宋" w:cs="宋体"/>
          <w:b w:val="0"/>
          <w:color w:val="auto"/>
          <w:sz w:val="24"/>
          <w:highlight w:val="none"/>
        </w:rPr>
        <w:t>（增值税税率随国家政策和适用税率同步调整）</w:t>
      </w:r>
      <w:r>
        <w:rPr>
          <w:rFonts w:hint="eastAsia" w:ascii="仿宋" w:hAnsi="仿宋" w:eastAsia="仿宋" w:cs="Times New Roman"/>
          <w:color w:val="auto"/>
          <w:sz w:val="24"/>
          <w:highlight w:val="none"/>
        </w:rPr>
        <w:t>；本合同暂定总价不作为双方最终结算的依据。结算租赁</w:t>
      </w:r>
      <w:r>
        <w:rPr>
          <w:rFonts w:hint="eastAsia" w:ascii="仿宋" w:hAnsi="仿宋" w:eastAsia="仿宋" w:cs="Times New Roman"/>
          <w:color w:val="auto"/>
          <w:sz w:val="24"/>
          <w:highlight w:val="none"/>
          <w:lang w:val="en-US" w:eastAsia="zh-CN"/>
        </w:rPr>
        <w:t>时间、数量</w:t>
      </w:r>
      <w:r>
        <w:rPr>
          <w:rFonts w:hint="eastAsia" w:ascii="仿宋" w:hAnsi="仿宋" w:eastAsia="仿宋" w:cs="Times New Roman"/>
          <w:color w:val="auto"/>
          <w:sz w:val="24"/>
          <w:highlight w:val="none"/>
        </w:rPr>
        <w:t>按实际发生的、且每月得到甲方项目经理部签认的为准</w:t>
      </w:r>
      <w:r>
        <w:rPr>
          <w:rFonts w:hint="eastAsia" w:ascii="仿宋" w:hAnsi="仿宋" w:eastAsia="仿宋" w:cs="Times New Roman"/>
          <w:sz w:val="24"/>
          <w:highlight w:val="none"/>
        </w:rPr>
        <w:t>。</w:t>
      </w:r>
    </w:p>
    <w:p w14:paraId="318EDF97">
      <w:pPr>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2、结算方式：原则上每月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日前甲方支付上月租赁费用</w:t>
      </w:r>
      <w:r>
        <w:rPr>
          <w:rFonts w:hint="eastAsia" w:ascii="仿宋" w:hAnsi="仿宋" w:eastAsia="仿宋" w:cs="Times New Roman"/>
          <w:sz w:val="24"/>
          <w:highlight w:val="none"/>
          <w:lang w:val="en-US" w:eastAsia="zh-CN"/>
        </w:rPr>
        <w:t>金额</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。每月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日前并自乙方发出租赁结算表五日内，甲方项目经理部对租赁结算表中所载租赁设备数量、租赁日期及租金进行确认，并将其中两份原件交还乙方。若对租赁结算表中的数据存在争议，甲方在乙方发出租赁结算表五日内以书面形式提出，对有争议部分，双方本着实事求是的原则协商解决，但不影响无争议的结算确认及款项支付。</w:t>
      </w:r>
    </w:p>
    <w:p w14:paraId="0B492954">
      <w:pPr>
        <w:spacing w:line="360" w:lineRule="auto"/>
        <w:ind w:firstLine="480" w:firstLineChars="200"/>
        <w:jc w:val="left"/>
        <w:rPr>
          <w:rFonts w:hint="eastAsia" w:ascii="仿宋" w:hAnsi="仿宋" w:eastAsia="仿宋" w:cs="Times New Roman"/>
          <w:sz w:val="24"/>
          <w:highlight w:val="none"/>
        </w:rPr>
      </w:pPr>
      <w:r>
        <w:rPr>
          <w:rFonts w:hint="eastAsia" w:ascii="仿宋" w:hAnsi="仿宋" w:eastAsia="仿宋" w:cs="Times New Roman"/>
          <w:sz w:val="24"/>
          <w:highlight w:val="none"/>
        </w:rPr>
        <w:t>3、本合同清单综合单价和不含增值税总价包括：</w:t>
      </w:r>
      <w:r>
        <w:rPr>
          <w:rFonts w:hint="eastAsia" w:ascii="仿宋" w:hAnsi="仿宋" w:eastAsia="仿宋" w:cs="Times New Roman"/>
          <w:sz w:val="24"/>
          <w:highlight w:val="none"/>
          <w:lang w:val="en-US" w:eastAsia="zh-CN"/>
        </w:rPr>
        <w:t>材料及</w:t>
      </w:r>
      <w:r>
        <w:rPr>
          <w:rFonts w:hint="eastAsia" w:ascii="仿宋" w:hAnsi="仿宋" w:eastAsia="仿宋" w:cs="Times New Roman"/>
          <w:sz w:val="24"/>
          <w:highlight w:val="none"/>
        </w:rPr>
        <w:t>机械设备租金、</w:t>
      </w:r>
      <w:r>
        <w:rPr>
          <w:rFonts w:hint="eastAsia" w:ascii="仿宋" w:hAnsi="仿宋" w:eastAsia="仿宋" w:cs="Times New Roman"/>
          <w:sz w:val="24"/>
          <w:highlight w:val="none"/>
          <w:lang w:val="en-US" w:eastAsia="zh-CN"/>
        </w:rPr>
        <w:t>材料及</w:t>
      </w:r>
      <w:r>
        <w:rPr>
          <w:rFonts w:hint="eastAsia" w:ascii="仿宋" w:hAnsi="仿宋" w:eastAsia="仿宋" w:cs="Times New Roman"/>
          <w:sz w:val="24"/>
          <w:highlight w:val="none"/>
        </w:rPr>
        <w:t>机械设备进退场费、</w:t>
      </w:r>
      <w:r>
        <w:rPr>
          <w:rFonts w:hint="eastAsia" w:ascii="仿宋" w:hAnsi="仿宋" w:eastAsia="仿宋" w:cs="Times New Roman"/>
          <w:sz w:val="24"/>
          <w:highlight w:val="none"/>
          <w:lang w:val="en-US" w:eastAsia="zh-CN"/>
        </w:rPr>
        <w:t>机械燃油费、</w:t>
      </w:r>
      <w:r>
        <w:rPr>
          <w:rFonts w:hint="eastAsia" w:ascii="仿宋" w:hAnsi="仿宋" w:eastAsia="仿宋" w:cs="Times New Roman"/>
          <w:sz w:val="24"/>
          <w:highlight w:val="none"/>
        </w:rPr>
        <w:t>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4B9905D8">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4、本合同涉及的所有支付均由甲方支付到乙方在合同约定的银行账户，无特殊情况下，甲方不接受乙方提供的任何第三方</w:t>
      </w:r>
      <w:r>
        <w:rPr>
          <w:rFonts w:hint="eastAsia" w:ascii="仿宋" w:hAnsi="仿宋" w:eastAsia="仿宋" w:cs="Times New Roman"/>
          <w:sz w:val="24"/>
          <w:highlight w:val="none"/>
          <w:lang w:val="en-US" w:eastAsia="zh-CN"/>
        </w:rPr>
        <w:t>收款</w:t>
      </w:r>
      <w:r>
        <w:rPr>
          <w:rFonts w:hint="eastAsia" w:ascii="仿宋" w:hAnsi="仿宋" w:eastAsia="仿宋" w:cs="Times New Roman"/>
          <w:sz w:val="24"/>
          <w:highlight w:val="none"/>
        </w:rPr>
        <w:t>银行账户或委托</w:t>
      </w:r>
      <w:r>
        <w:rPr>
          <w:rFonts w:hint="eastAsia" w:ascii="仿宋" w:hAnsi="仿宋" w:eastAsia="仿宋" w:cs="Times New Roman"/>
          <w:sz w:val="24"/>
          <w:highlight w:val="none"/>
          <w:lang w:val="en-US" w:eastAsia="zh-CN"/>
        </w:rPr>
        <w:t>收款</w:t>
      </w:r>
      <w:r>
        <w:rPr>
          <w:rFonts w:hint="eastAsia" w:ascii="仿宋" w:hAnsi="仿宋" w:eastAsia="仿宋" w:cs="Times New Roman"/>
          <w:sz w:val="24"/>
          <w:highlight w:val="none"/>
        </w:rPr>
        <w:t>。</w:t>
      </w:r>
    </w:p>
    <w:p w14:paraId="1CC92025">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5、乙方应在每期结算确认后，在甲方租金支付前，根据合同内容和结算书内容向甲方出具相应增值税发票。以上条件不满足时，乙方不得向甲方申请支付款项，甲方有权停止支付且由乙方自身承担风险。乙方向甲方开具发票的金额（价税合计）需严格依据“累计确认结算量与资金支付量孰高原则”。</w:t>
      </w:r>
    </w:p>
    <w:p w14:paraId="753D7EE3">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与本项目的计税方法（一般计税方法或简易计税方法）匹配。</w:t>
      </w:r>
    </w:p>
    <w:p w14:paraId="14C2A3B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lang w:val="en-US" w:eastAsia="zh-CN"/>
        </w:rPr>
        <w:t>利益受损</w:t>
      </w:r>
      <w:r>
        <w:rPr>
          <w:rFonts w:hint="eastAsia" w:ascii="仿宋" w:hAnsi="仿宋" w:eastAsia="仿宋" w:cs="Times New Roman"/>
          <w:sz w:val="24"/>
        </w:rPr>
        <w:t>的，全部损失由乙方承担。</w:t>
      </w:r>
    </w:p>
    <w:p w14:paraId="4645CC3B">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lang w:val="en-US" w:eastAsia="zh-CN"/>
        </w:rPr>
        <w:t>赔偿</w:t>
      </w:r>
      <w:r>
        <w:rPr>
          <w:rFonts w:hint="eastAsia" w:ascii="仿宋" w:hAnsi="仿宋" w:eastAsia="仿宋" w:cs="Times New Roman"/>
          <w:sz w:val="24"/>
        </w:rPr>
        <w:t>相应进项税额3倍的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3AC3AD83">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五、设备的进退场费用：</w:t>
      </w:r>
    </w:p>
    <w:p w14:paraId="010B1DA8">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设备起租前的进场费用由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方负责，止租后的退场费用由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rPr>
        <w:t>方负责。</w:t>
      </w:r>
    </w:p>
    <w:p w14:paraId="049640A0">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六、甲方的权利义务：</w:t>
      </w:r>
    </w:p>
    <w:p w14:paraId="31F8F1BC">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1、甲方拥有本合同所出租设备</w:t>
      </w:r>
      <w:r>
        <w:rPr>
          <w:rFonts w:hint="eastAsia" w:ascii="仿宋" w:hAnsi="仿宋" w:eastAsia="仿宋" w:cs="Times New Roman"/>
          <w:sz w:val="24"/>
          <w:highlight w:val="none"/>
          <w:lang w:eastAsia="zh-CN"/>
        </w:rPr>
        <w:t>、</w:t>
      </w:r>
      <w:r>
        <w:rPr>
          <w:rFonts w:hint="eastAsia" w:ascii="仿宋" w:hAnsi="仿宋" w:eastAsia="仿宋" w:cs="Times New Roman"/>
          <w:sz w:val="24"/>
          <w:highlight w:val="none"/>
          <w:lang w:val="en-US" w:eastAsia="zh-CN"/>
        </w:rPr>
        <w:t>材料</w:t>
      </w:r>
      <w:r>
        <w:rPr>
          <w:rFonts w:hint="eastAsia" w:ascii="仿宋" w:hAnsi="仿宋" w:eastAsia="仿宋" w:cs="Times New Roman"/>
          <w:sz w:val="24"/>
          <w:highlight w:val="none"/>
        </w:rPr>
        <w:t>的使用权，在双方确定的合同租期内，不受使用时间的限制，</w:t>
      </w:r>
      <w:r>
        <w:rPr>
          <w:rFonts w:hint="eastAsia" w:ascii="仿宋" w:hAnsi="仿宋" w:eastAsia="仿宋" w:cs="Times New Roman"/>
          <w:sz w:val="24"/>
          <w:highlight w:val="none"/>
          <w:u w:val="single"/>
          <w:lang w:val="en-US" w:eastAsia="zh-CN"/>
        </w:rPr>
        <w:t>作业人员乙方自行安排</w:t>
      </w:r>
      <w:r>
        <w:rPr>
          <w:rFonts w:hint="eastAsia" w:ascii="仿宋" w:hAnsi="仿宋" w:eastAsia="仿宋" w:cs="Times New Roman"/>
          <w:sz w:val="24"/>
          <w:highlight w:val="none"/>
        </w:rPr>
        <w:t>。</w:t>
      </w:r>
    </w:p>
    <w:p w14:paraId="74BDDA3F">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2、机械设备在租赁期内所需的燃油由</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方负担，其余油料、配件及维修保养等费用均由乙方自行承担。</w:t>
      </w:r>
    </w:p>
    <w:p w14:paraId="2AE8C9A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3、未经乙方同意，甲方不得将租赁设备向第三方转让、转租及抵押，以及转换其他项目使用。</w:t>
      </w:r>
    </w:p>
    <w:p w14:paraId="3755189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4、设备进场后由甲方负责安排人员值班保管（设备停置妥当、熄火并锁好车门）；如因甲方原因造成乙方设备失盗、人为毁损，甲方按双方协商确定的评估机构的估价赔偿乙方。</w:t>
      </w:r>
    </w:p>
    <w:p w14:paraId="4A69949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5、若租赁设备在甲方正常使用中出现性能问题或经常发生故障而影响甲方使用时，甲方有权要求乙方换机或退租，由此产生的相关费用由乙方负责；若造成甲方损失的，乙方应承担相应的赔偿责任。</w:t>
      </w:r>
    </w:p>
    <w:p w14:paraId="58FE5F0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6、甲方负责向机手宣贯甲方的规章制度、安全操作规程及安全生产施工要求，并负责提供食宿安排。</w:t>
      </w:r>
    </w:p>
    <w:p w14:paraId="4E23B1A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7、因不可抗力因素造成租赁设备的损失，甲方做好配合与协助工作，但不承担修复及赔偿责任。</w:t>
      </w:r>
    </w:p>
    <w:p w14:paraId="7996F2B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8、乙方设备不配机手时，甲方应保证安全、正常地使用设备，并遵守国家有关法律法规。因乙方设备状况不良而引致的任何损失，免除甲方责任，由乙方负责相应的费用。</w:t>
      </w:r>
    </w:p>
    <w:p w14:paraId="6C793D76">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七、乙方的权利义务</w:t>
      </w:r>
    </w:p>
    <w:p w14:paraId="417B6AE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1、乙方承诺其拥有本合同出租设备</w:t>
      </w:r>
      <w:r>
        <w:rPr>
          <w:rFonts w:hint="eastAsia" w:ascii="仿宋" w:hAnsi="仿宋" w:eastAsia="仿宋" w:cs="Times New Roman"/>
          <w:sz w:val="24"/>
          <w:lang w:eastAsia="zh-CN"/>
        </w:rPr>
        <w:t>、</w:t>
      </w:r>
      <w:r>
        <w:rPr>
          <w:rFonts w:hint="eastAsia" w:ascii="仿宋" w:hAnsi="仿宋" w:eastAsia="仿宋" w:cs="Times New Roman"/>
          <w:sz w:val="24"/>
          <w:lang w:val="en-US" w:eastAsia="zh-CN"/>
        </w:rPr>
        <w:t>材料</w:t>
      </w:r>
      <w:r>
        <w:rPr>
          <w:rFonts w:hint="eastAsia" w:ascii="仿宋" w:hAnsi="仿宋" w:eastAsia="仿宋" w:cs="Times New Roman"/>
          <w:sz w:val="24"/>
        </w:rPr>
        <w:t>的所有权，不存在权利瑕疵，在租给甲方使用期间，确保甲方不受第三方主张权利。</w:t>
      </w:r>
    </w:p>
    <w:p w14:paraId="6CB1B8C6">
      <w:pPr>
        <w:spacing w:line="360" w:lineRule="auto"/>
        <w:ind w:firstLine="482" w:firstLineChars="200"/>
        <w:rPr>
          <w:rFonts w:ascii="仿宋" w:hAnsi="仿宋" w:eastAsia="仿宋" w:cs="Times New Roman"/>
          <w:sz w:val="24"/>
        </w:rPr>
      </w:pPr>
      <w:r>
        <w:rPr>
          <w:rFonts w:hint="eastAsia" w:ascii="仿宋" w:hAnsi="仿宋" w:eastAsia="仿宋" w:cs="Times New Roman"/>
          <w:b/>
          <w:bCs/>
          <w:sz w:val="24"/>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2440D33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744CB77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3、乙方负责设备的保养与维修，设备保养、维修、故障修理所发生的保养费用、维修费、换件费、油脂费、人工费等均由乙方负责。。</w:t>
      </w:r>
    </w:p>
    <w:p w14:paraId="626906F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元/</w:t>
      </w:r>
      <w:r>
        <w:rPr>
          <w:rFonts w:hint="eastAsia" w:ascii="仿宋" w:hAnsi="仿宋" w:eastAsia="仿宋" w:cs="Times New Roman"/>
          <w:sz w:val="24"/>
        </w:rPr>
        <w:t>日扣减乙方租金，直至甲方另租到相应设备时为止，同时由乙方承担甲方另租设备所发生的一切费用；如因乙方保养不当造成设备排污达不到相关标准而被环保部门罚款时，由乙方负责。</w:t>
      </w:r>
    </w:p>
    <w:p w14:paraId="16DE5F7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5</w:t>
      </w:r>
      <w:r>
        <w:rPr>
          <w:rFonts w:hint="eastAsia" w:ascii="仿宋" w:hAnsi="仿宋" w:eastAsia="仿宋" w:cs="Times New Roman"/>
          <w:sz w:val="24"/>
        </w:rPr>
        <w:t>、乙方应在设备上配备常用的配件、备件工具，若乙方设备发生故障，为保证本项目工作的顺利完成，甲方有权电话知会乙方后进行快速抢修，所发生的费用从租赁费用中扣回。</w:t>
      </w:r>
    </w:p>
    <w:p w14:paraId="55ECC5CA">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八、违约责任</w:t>
      </w:r>
    </w:p>
    <w:p w14:paraId="578DCA1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1、甲方无故逾期支付租赁费用达</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日，乙方有权中止履行合同并调回机械设备，直至甲方付清租赁费用为止。</w:t>
      </w:r>
    </w:p>
    <w:p w14:paraId="408D0A3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2</w:t>
      </w:r>
      <w:r>
        <w:rPr>
          <w:rFonts w:hint="eastAsia" w:ascii="仿宋" w:hAnsi="仿宋" w:eastAsia="仿宋" w:cs="Times New Roman"/>
          <w:sz w:val="24"/>
        </w:rPr>
        <w:t>、如乙方无故未依时调遣相应机械设备入场作业的，则从逾期的第一天起，每逾期一天则按合同暂定金额的万分之三向甲方支付违约金，直到设备入场作业为止。逾期超过15日的，甲方有权解除合同并要求乙方支付合同暂定金额的5%作为违约金；甲方选择继续履行合同的，乙方仍须支付逾期调遣机械设备违约金。</w:t>
      </w:r>
    </w:p>
    <w:p w14:paraId="47EF571B">
      <w:pPr>
        <w:spacing w:line="360" w:lineRule="auto"/>
        <w:ind w:firstLine="480" w:firstLineChars="200"/>
        <w:rPr>
          <w:rFonts w:ascii="仿宋" w:hAnsi="仿宋" w:eastAsia="仿宋" w:cs="Times New Roman"/>
          <w:sz w:val="24"/>
        </w:rPr>
      </w:pPr>
      <w:r>
        <w:rPr>
          <w:rFonts w:hint="eastAsia" w:ascii="仿宋" w:hAnsi="仿宋" w:eastAsia="仿宋" w:cs="Times New Roman"/>
          <w:sz w:val="24"/>
          <w:lang w:val="en-US" w:eastAsia="zh-CN"/>
        </w:rPr>
        <w:t>3</w:t>
      </w:r>
      <w:r>
        <w:rPr>
          <w:rFonts w:hint="eastAsia" w:ascii="仿宋" w:hAnsi="仿宋" w:eastAsia="仿宋" w:cs="Times New Roman"/>
          <w:sz w:val="24"/>
        </w:rPr>
        <w:t>、如乙方的机械设备</w:t>
      </w:r>
      <w:r>
        <w:rPr>
          <w:rFonts w:hint="eastAsia" w:ascii="仿宋" w:hAnsi="仿宋" w:eastAsia="仿宋" w:cs="Times New Roman"/>
          <w:sz w:val="24"/>
          <w:lang w:val="en-US" w:eastAsia="zh-CN"/>
        </w:rPr>
        <w:t>一个月</w:t>
      </w:r>
      <w:r>
        <w:rPr>
          <w:rFonts w:hint="eastAsia" w:ascii="仿宋" w:hAnsi="仿宋" w:eastAsia="仿宋" w:cs="Times New Roman"/>
          <w:sz w:val="24"/>
        </w:rPr>
        <w:t>多次发生故障（</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 次以上）配合不了现场工程进度的，甲方有权单方解除合同并要求乙方支付本合同金额的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作为违约金，违约金不足以弥补工期延误对甲方所造成的经济损失的，甲方有权按照实际损失向乙方追偿。</w:t>
      </w:r>
    </w:p>
    <w:p w14:paraId="601AD59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4</w:t>
      </w:r>
      <w:r>
        <w:rPr>
          <w:rFonts w:hint="eastAsia" w:ascii="仿宋" w:hAnsi="仿宋" w:eastAsia="仿宋" w:cs="Times New Roman"/>
          <w:sz w:val="24"/>
        </w:rPr>
        <w:t>、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18A6E34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5、</w:t>
      </w:r>
      <w:r>
        <w:rPr>
          <w:rFonts w:hint="eastAsia" w:ascii="仿宋" w:hAnsi="仿宋" w:eastAsia="仿宋" w:cs="Times New Roman"/>
          <w:sz w:val="24"/>
        </w:rPr>
        <w:t>发生劳动争议仲裁或诉讼后，乙方可自行选择与</w:t>
      </w:r>
      <w:r>
        <w:rPr>
          <w:rFonts w:hint="eastAsia" w:ascii="仿宋" w:hAnsi="仿宋" w:eastAsia="仿宋" w:cs="Times New Roman"/>
          <w:sz w:val="24"/>
          <w:lang w:val="en-US" w:eastAsia="zh-CN"/>
        </w:rPr>
        <w:t>进场人员</w:t>
      </w:r>
      <w:r>
        <w:rPr>
          <w:rFonts w:hint="eastAsia" w:ascii="仿宋" w:hAnsi="仿宋" w:eastAsia="仿宋" w:cs="Times New Roman"/>
          <w:sz w:val="24"/>
        </w:rPr>
        <w:t>和解或应诉；选择应诉的，甲方将按案件标的的1.3倍暂扣乙方的</w:t>
      </w:r>
      <w:r>
        <w:rPr>
          <w:rFonts w:hint="eastAsia" w:ascii="仿宋" w:hAnsi="仿宋" w:eastAsia="仿宋" w:cs="Times New Roman"/>
          <w:sz w:val="24"/>
          <w:lang w:val="en-US" w:eastAsia="zh-CN"/>
        </w:rPr>
        <w:t>应收款项</w:t>
      </w:r>
      <w:r>
        <w:rPr>
          <w:rFonts w:hint="eastAsia" w:ascii="仿宋" w:hAnsi="仿宋" w:eastAsia="仿宋" w:cs="Times New Roman"/>
          <w:sz w:val="24"/>
        </w:rPr>
        <w:t>直至案件解决。</w:t>
      </w:r>
    </w:p>
    <w:p w14:paraId="16F1D044">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九、附则</w:t>
      </w:r>
    </w:p>
    <w:p w14:paraId="6A15855E">
      <w:pPr>
        <w:spacing w:line="360" w:lineRule="auto"/>
        <w:ind w:firstLine="480" w:firstLineChars="200"/>
        <w:rPr>
          <w:rFonts w:hint="eastAsia" w:ascii="仿宋" w:hAnsi="仿宋" w:eastAsia="仿宋" w:cs="Times New Roman"/>
          <w:sz w:val="24"/>
        </w:rPr>
      </w:pPr>
      <w:r>
        <w:rPr>
          <w:rFonts w:ascii="仿宋" w:hAnsi="仿宋" w:eastAsia="仿宋" w:cs="Times New Roman"/>
          <w:sz w:val="24"/>
        </w:rPr>
        <w:t>1</w:t>
      </w:r>
      <w:r>
        <w:rPr>
          <w:rFonts w:hint="eastAsia" w:ascii="仿宋" w:hAnsi="仿宋" w:eastAsia="仿宋" w:cs="Times New Roman"/>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Times New Roman"/>
          <w:bCs/>
          <w:sz w:val="24"/>
        </w:rPr>
        <w:t>委派项目经理签字并加盖公司公章或公司合同专用章</w:t>
      </w:r>
      <w:r>
        <w:rPr>
          <w:rFonts w:hint="eastAsia" w:ascii="仿宋" w:hAnsi="仿宋" w:eastAsia="仿宋" w:cs="Times New Roman"/>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71FA54D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2、有关本合同的一切争议，甲、乙双方应根据法律规定以及本合同的约定友好协商解决，协商不成时，可向</w:t>
      </w:r>
      <w:r>
        <w:rPr>
          <w:rFonts w:hint="eastAsia" w:ascii="仿宋" w:hAnsi="仿宋" w:eastAsia="仿宋" w:cs="Times New Roman"/>
          <w:sz w:val="24"/>
          <w:szCs w:val="24"/>
          <w:lang w:val="en-US" w:eastAsia="zh-CN"/>
        </w:rPr>
        <w:t>甲方所在地有管辖权的人民法院</w:t>
      </w:r>
      <w:r>
        <w:rPr>
          <w:rFonts w:hint="eastAsia" w:ascii="仿宋" w:hAnsi="仿宋" w:eastAsia="仿宋" w:cs="Times New Roman"/>
          <w:sz w:val="24"/>
          <w:szCs w:val="24"/>
        </w:rPr>
        <w:t>提起</w:t>
      </w:r>
      <w:r>
        <w:rPr>
          <w:rFonts w:hint="eastAsia" w:ascii="仿宋" w:hAnsi="仿宋" w:eastAsia="仿宋" w:cs="Times New Roman"/>
          <w:sz w:val="24"/>
          <w:szCs w:val="24"/>
          <w:lang w:val="en-US" w:eastAsia="zh-CN"/>
        </w:rPr>
        <w:t>诉讼</w:t>
      </w:r>
      <w:r>
        <w:rPr>
          <w:rFonts w:hint="eastAsia" w:ascii="仿宋" w:hAnsi="仿宋" w:eastAsia="仿宋" w:cs="Times New Roman"/>
          <w:sz w:val="24"/>
        </w:rPr>
        <w:t>。</w:t>
      </w:r>
    </w:p>
    <w:p w14:paraId="19FCCFE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6593A7A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甲方地址：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17835E2A">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乙方地址：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6806E2B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4、本合同未尽事宜，由甲、乙双方协商后，签订补充协议解决；</w:t>
      </w:r>
    </w:p>
    <w:p w14:paraId="14FB0CF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5、本合同一式</w:t>
      </w:r>
      <w:r>
        <w:rPr>
          <w:rFonts w:hint="eastAsia" w:ascii="仿宋" w:hAnsi="仿宋" w:eastAsia="仿宋" w:cs="Times New Roman"/>
          <w:sz w:val="24"/>
          <w:u w:val="single"/>
        </w:rPr>
        <w:t>肆</w:t>
      </w:r>
      <w:r>
        <w:rPr>
          <w:rFonts w:hint="eastAsia" w:ascii="仿宋" w:hAnsi="仿宋" w:eastAsia="仿宋" w:cs="Times New Roman"/>
          <w:sz w:val="24"/>
        </w:rPr>
        <w:t>份，甲方执</w:t>
      </w:r>
      <w:r>
        <w:rPr>
          <w:rFonts w:hint="eastAsia" w:ascii="仿宋" w:hAnsi="仿宋" w:eastAsia="仿宋" w:cs="Times New Roman"/>
          <w:sz w:val="24"/>
          <w:u w:val="single"/>
        </w:rPr>
        <w:t>叁</w:t>
      </w:r>
      <w:r>
        <w:rPr>
          <w:rFonts w:hint="eastAsia" w:ascii="仿宋" w:hAnsi="仿宋" w:eastAsia="仿宋" w:cs="Times New Roman"/>
          <w:sz w:val="24"/>
        </w:rPr>
        <w:t>份，乙方执</w:t>
      </w:r>
      <w:r>
        <w:rPr>
          <w:rFonts w:hint="eastAsia" w:ascii="仿宋" w:hAnsi="仿宋" w:eastAsia="仿宋" w:cs="Times New Roman"/>
          <w:sz w:val="24"/>
          <w:u w:val="single"/>
        </w:rPr>
        <w:t>壹</w:t>
      </w:r>
      <w:r>
        <w:rPr>
          <w:rFonts w:hint="eastAsia" w:ascii="仿宋" w:hAnsi="仿宋" w:eastAsia="仿宋" w:cs="Times New Roman"/>
          <w:sz w:val="24"/>
        </w:rPr>
        <w:t>份，均具有同等效力；</w:t>
      </w:r>
    </w:p>
    <w:p w14:paraId="17E5F6B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6、本合同在双方代表签署并加盖公章后生效，双方履行了合同中全部责任后失效。</w:t>
      </w:r>
    </w:p>
    <w:p w14:paraId="4C8E0288">
      <w:pPr>
        <w:autoSpaceDE w:val="0"/>
        <w:autoSpaceDN w:val="0"/>
        <w:spacing w:line="360" w:lineRule="auto"/>
        <w:ind w:left="5999" w:leftChars="228" w:hanging="5520" w:hangingChars="2300"/>
        <w:jc w:val="left"/>
        <w:rPr>
          <w:rFonts w:ascii="仿宋" w:hAnsi="仿宋" w:eastAsia="仿宋" w:cs="Times New Roman"/>
          <w:sz w:val="24"/>
        </w:rPr>
      </w:pPr>
      <w:r>
        <w:rPr>
          <w:rFonts w:hint="eastAsia" w:ascii="仿宋" w:hAnsi="仿宋" w:eastAsia="仿宋" w:cs="Times New Roman"/>
          <w:sz w:val="24"/>
        </w:rPr>
        <w:t>甲方：</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rPr>
        <w:t xml:space="preserve">(盖章) </w:t>
      </w:r>
      <w:r>
        <w:rPr>
          <w:rFonts w:hint="eastAsia" w:ascii="仿宋" w:hAnsi="仿宋" w:eastAsia="仿宋" w:cs="Times New Roman"/>
          <w:sz w:val="24"/>
          <w:lang w:val="en-US" w:eastAsia="zh-CN"/>
        </w:rPr>
        <w:t xml:space="preserve">                         </w:t>
      </w:r>
      <w:r>
        <w:rPr>
          <w:rFonts w:hint="eastAsia" w:ascii="仿宋" w:hAnsi="仿宋" w:eastAsia="仿宋" w:cs="Times New Roman"/>
          <w:sz w:val="24"/>
        </w:rPr>
        <w:t>乙方：</w:t>
      </w:r>
      <w:r>
        <w:rPr>
          <w:rFonts w:hint="eastAsia" w:ascii="仿宋" w:hAnsi="仿宋" w:eastAsia="仿宋" w:cs="Times New Roman"/>
          <w:sz w:val="24"/>
          <w:u w:val="none"/>
          <w:lang w:val="en-US" w:eastAsia="zh-CN"/>
        </w:rPr>
        <w:t xml:space="preserve">  </w:t>
      </w:r>
      <w:r>
        <w:rPr>
          <w:rFonts w:hint="eastAsia" w:ascii="仿宋" w:hAnsi="仿宋" w:eastAsia="仿宋" w:cs="Times New Roman"/>
          <w:sz w:val="24"/>
        </w:rPr>
        <w:t>（盖章）</w:t>
      </w:r>
      <w:r>
        <w:rPr>
          <w:rFonts w:ascii="仿宋" w:hAnsi="仿宋" w:eastAsia="仿宋" w:cs="Times New Roman"/>
          <w:sz w:val="24"/>
        </w:rPr>
        <w:t xml:space="preserve">                                    </w:t>
      </w:r>
    </w:p>
    <w:p w14:paraId="71850BE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法定代表人:                            </w:t>
      </w:r>
      <w:r>
        <w:rPr>
          <w:rFonts w:hint="eastAsia" w:ascii="仿宋" w:hAnsi="仿宋" w:eastAsia="仿宋" w:cs="Times New Roman"/>
          <w:sz w:val="24"/>
          <w:lang w:val="en-US" w:eastAsia="zh-CN"/>
        </w:rPr>
        <w:t xml:space="preserve"> </w:t>
      </w:r>
      <w:r>
        <w:rPr>
          <w:rFonts w:hint="eastAsia" w:ascii="仿宋" w:hAnsi="仿宋" w:eastAsia="仿宋" w:cs="Times New Roman"/>
          <w:sz w:val="24"/>
        </w:rPr>
        <w:t>法定代表人:</w:t>
      </w:r>
    </w:p>
    <w:p w14:paraId="497A34C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或委托代理人：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或委托代理人：         </w:t>
      </w:r>
      <w:r>
        <w:rPr>
          <w:rFonts w:ascii="仿宋" w:hAnsi="仿宋" w:eastAsia="仿宋" w:cs="Times New Roman"/>
          <w:sz w:val="24"/>
        </w:rPr>
        <w:t xml:space="preserve">     </w:t>
      </w:r>
      <w:r>
        <w:rPr>
          <w:rFonts w:hint="eastAsia" w:ascii="仿宋" w:hAnsi="仿宋" w:eastAsia="仿宋" w:cs="Times New Roman"/>
          <w:sz w:val="24"/>
        </w:rPr>
        <w:t xml:space="preserve">       </w:t>
      </w:r>
    </w:p>
    <w:p w14:paraId="2A62864A">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rPr>
        <w:t>签订时间：</w:t>
      </w:r>
      <w:r>
        <w:rPr>
          <w:rFonts w:hint="eastAsia" w:ascii="仿宋" w:hAnsi="仿宋" w:eastAsia="仿宋" w:cs="Times New Roman"/>
          <w:sz w:val="24"/>
          <w:lang w:val="en-US" w:eastAsia="zh-CN"/>
        </w:rPr>
        <w:t xml:space="preserve">     年   月   日</w:t>
      </w:r>
      <w:r>
        <w:rPr>
          <w:rFonts w:hint="eastAsia" w:ascii="仿宋" w:hAnsi="仿宋" w:eastAsia="仿宋" w:cs="Times New Roman"/>
          <w:sz w:val="24"/>
        </w:rPr>
        <w:t xml:space="preserve">            </w:t>
      </w:r>
      <w:r>
        <w:rPr>
          <w:rFonts w:hint="eastAsia" w:ascii="仿宋" w:hAnsi="仿宋" w:eastAsia="仿宋" w:cs="Times New Roman"/>
          <w:sz w:val="24"/>
          <w:lang w:val="en-US" w:eastAsia="zh-CN"/>
        </w:rPr>
        <w:t xml:space="preserve"> </w:t>
      </w:r>
      <w:r>
        <w:rPr>
          <w:rFonts w:hint="eastAsia" w:ascii="仿宋" w:hAnsi="仿宋" w:eastAsia="仿宋" w:cs="Times New Roman"/>
          <w:sz w:val="24"/>
        </w:rPr>
        <w:t>签订时间：</w:t>
      </w:r>
      <w:r>
        <w:rPr>
          <w:rFonts w:hint="eastAsia" w:ascii="仿宋" w:hAnsi="仿宋" w:eastAsia="仿宋" w:cs="Times New Roman"/>
          <w:sz w:val="24"/>
          <w:lang w:val="en-US" w:eastAsia="zh-CN"/>
        </w:rPr>
        <w:t xml:space="preserve">    年   月   日</w:t>
      </w:r>
      <w:r>
        <w:rPr>
          <w:rFonts w:hint="eastAsia" w:ascii="仿宋" w:hAnsi="仿宋" w:eastAsia="仿宋" w:cs="Times New Roman"/>
          <w:sz w:val="24"/>
        </w:rPr>
        <w:t xml:space="preserve"> </w:t>
      </w:r>
    </w:p>
    <w:p w14:paraId="71C2AACE">
      <w:pPr>
        <w:pStyle w:val="3"/>
        <w:rPr>
          <w:rFonts w:hint="eastAsia"/>
          <w:lang w:val="en-US" w:eastAsia="zh-CN"/>
        </w:rPr>
      </w:pPr>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0A70ADB9">
      <w:pPr>
        <w:widowControl/>
        <w:jc w:val="left"/>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br w:type="page"/>
      </w: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6629"/>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惠东县湖洲一路建设工程</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（编号09号）钢板桩机械及材料租赁</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0462724"/>
      <w:bookmarkStart w:id="18" w:name="_Toc39826987"/>
      <w:bookmarkStart w:id="19" w:name="_Toc474920011"/>
      <w:bookmarkStart w:id="20" w:name="_Toc486837000"/>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36F2FCB"/>
    <w:rsid w:val="21A25EC1"/>
    <w:rsid w:val="2C770676"/>
    <w:rsid w:val="2FCA6D0F"/>
    <w:rsid w:val="4B6A0409"/>
    <w:rsid w:val="51BA72C2"/>
    <w:rsid w:val="668A4527"/>
    <w:rsid w:val="6C7B37C0"/>
    <w:rsid w:val="6D1C64F8"/>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1189</Words>
  <Characters>1308</Characters>
  <Lines>0</Lines>
  <Paragraphs>0</Paragraphs>
  <TotalTime>1</TotalTime>
  <ScaleCrop>false</ScaleCrop>
  <LinksUpToDate>false</LinksUpToDate>
  <CharactersWithSpaces>1342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2025-02-10T06:04:36Z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FA21EF1B2E5549D0A43E3AAA85F5B062_11</vt:lpwstr>
  </property>
  <property fmtid="{D5CDD505-2E9C-101B-9397-08002B2CF9AE}" pid="4" name="KSOTemplateDocerSaveRecord">
    <vt:lpwstr>eyJoZGlkIjoiZTcwNDdlYTI1OTFhMDMyZjIzNDQ4NGFmYzk0ZjJkYmQiLCJ1c2VySWQiOiIxNjY4MjkxOTUwIn0=</vt:lpwstr>
  </property>
</Properties>
</file>