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（编号02号）施工分包（水电安装及附属工程）</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2025年2月11日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30</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bookmarkStart w:id="22" w:name="_GoBack"/>
      <w:bookmarkEnd w:id="22"/>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）的委托，诚邀国内合格参选人就惠东县水质提升工程项目（黄埠镇盐洲片区）（编号02号）施工分包（水电安装及附属工程）</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具体施工内容以招标人提供的施工图及工程量清单为准）。由广东路通达建设工程有限公司负责项目施工任务。</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承包人现场施工所需的施工分包（水电安装及附属工程）</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2025年2月17日12:00。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公告发布时间：2025年2月11日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21380"/>
      <w:bookmarkStart w:id="2" w:name="_Toc392345907"/>
      <w:bookmarkStart w:id="3" w:name="_Toc152042304"/>
      <w:bookmarkStart w:id="4" w:name="_Toc7164"/>
      <w:bookmarkStart w:id="5" w:name="_Toc229646710"/>
      <w:bookmarkStart w:id="6" w:name="_Toc16761"/>
      <w:bookmarkStart w:id="7" w:name="_Toc152045528"/>
      <w:bookmarkStart w:id="8" w:name="_Toc500491903"/>
      <w:bookmarkStart w:id="9" w:name="_Toc144974496"/>
      <w:bookmarkStart w:id="10" w:name="_Toc16780"/>
      <w:bookmarkStart w:id="11" w:name="_Toc31806"/>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惠东县水质提升工程项目（黄埠镇盐洲片区）（编号02号）施工分包（水电安装及附属工程）</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承包人现场施工所需的施工分包（水电安装及附属工程）</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2月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2025年2月17日12:00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惠东县水质提升工程项目（黄埠镇盐洲片区）（编号02号）施工分包（水电安装及附属工程）</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tbl>
      <w:tblPr>
        <w:tblStyle w:val="8"/>
        <w:tblpPr w:leftFromText="180" w:rightFromText="180" w:vertAnchor="text" w:horzAnchor="page" w:tblpX="1883" w:tblpY="248"/>
        <w:tblOverlap w:val="never"/>
        <w:tblW w:w="8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3"/>
        <w:gridCol w:w="355"/>
        <w:gridCol w:w="1541"/>
        <w:gridCol w:w="2965"/>
        <w:gridCol w:w="2586"/>
      </w:tblGrid>
      <w:tr w14:paraId="095DD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9" w:hRule="atLeast"/>
        </w:trPr>
        <w:tc>
          <w:tcPr>
            <w:tcW w:w="8480" w:type="dxa"/>
            <w:gridSpan w:val="5"/>
            <w:tcBorders>
              <w:top w:val="nil"/>
              <w:left w:val="nil"/>
              <w:bottom w:val="nil"/>
              <w:right w:val="nil"/>
            </w:tcBorders>
            <w:shd w:val="clear" w:color="auto" w:fill="FFFFFF"/>
            <w:vAlign w:val="center"/>
          </w:tcPr>
          <w:p w14:paraId="03DB7DBB">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工程量清单汇总表</w:t>
            </w:r>
          </w:p>
        </w:tc>
      </w:tr>
      <w:tr w14:paraId="42573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8480" w:type="dxa"/>
            <w:gridSpan w:val="5"/>
            <w:tcBorders>
              <w:top w:val="nil"/>
              <w:left w:val="nil"/>
              <w:bottom w:val="nil"/>
              <w:right w:val="nil"/>
            </w:tcBorders>
            <w:shd w:val="clear" w:color="auto" w:fill="FFFFFF"/>
            <w:vAlign w:val="bottom"/>
          </w:tcPr>
          <w:p w14:paraId="22702EBF">
            <w:pPr>
              <w:keepNext w:val="0"/>
              <w:keepLines w:val="0"/>
              <w:widowControl/>
              <w:suppressLineNumbers w:val="0"/>
              <w:jc w:val="left"/>
              <w:textAlignment w:val="bottom"/>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项目名称:惠东县水质提升工程项目（黄埠镇盐洲片区）</w:t>
            </w:r>
          </w:p>
        </w:tc>
      </w:tr>
      <w:tr w14:paraId="3F57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58C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189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5B340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单位工程名称</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F8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不含增值税金额（元）</w:t>
            </w:r>
          </w:p>
        </w:tc>
        <w:tc>
          <w:tcPr>
            <w:tcW w:w="2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25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备注</w:t>
            </w:r>
          </w:p>
        </w:tc>
      </w:tr>
      <w:tr w14:paraId="434E6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A79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9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B899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设备及水电安装工程专业分包</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CDB91">
            <w:pPr>
              <w:jc w:val="right"/>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11851">
            <w:pPr>
              <w:jc w:val="right"/>
              <w:rPr>
                <w:rFonts w:hint="eastAsia" w:ascii="宋体" w:hAnsi="宋体" w:eastAsia="宋体" w:cs="宋体"/>
                <w:i w:val="0"/>
                <w:iCs w:val="0"/>
                <w:color w:val="auto"/>
                <w:sz w:val="20"/>
                <w:szCs w:val="20"/>
                <w:u w:val="none"/>
              </w:rPr>
            </w:pPr>
          </w:p>
        </w:tc>
      </w:tr>
      <w:tr w14:paraId="265F9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F0C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9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A728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绿化工程专业分包</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E666F">
            <w:pPr>
              <w:jc w:val="right"/>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BE733">
            <w:pPr>
              <w:jc w:val="right"/>
              <w:rPr>
                <w:rFonts w:hint="eastAsia" w:ascii="宋体" w:hAnsi="宋体" w:eastAsia="宋体" w:cs="宋体"/>
                <w:i w:val="0"/>
                <w:iCs w:val="0"/>
                <w:color w:val="auto"/>
                <w:sz w:val="20"/>
                <w:szCs w:val="20"/>
                <w:u w:val="none"/>
              </w:rPr>
            </w:pPr>
          </w:p>
        </w:tc>
      </w:tr>
      <w:tr w14:paraId="3C7F1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2C3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9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CCEF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厂内及进出厂道路附属工程专业分包</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6F54">
            <w:pPr>
              <w:jc w:val="right"/>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B760C">
            <w:pPr>
              <w:jc w:val="right"/>
              <w:rPr>
                <w:rFonts w:hint="eastAsia" w:ascii="宋体" w:hAnsi="宋体" w:eastAsia="宋体" w:cs="宋体"/>
                <w:i w:val="0"/>
                <w:iCs w:val="0"/>
                <w:color w:val="auto"/>
                <w:sz w:val="20"/>
                <w:szCs w:val="20"/>
                <w:u w:val="none"/>
              </w:rPr>
            </w:pPr>
          </w:p>
        </w:tc>
      </w:tr>
      <w:tr w14:paraId="51B53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10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E55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9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E9FD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围墙专业分包</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CBC1">
            <w:pPr>
              <w:jc w:val="right"/>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74FF4">
            <w:pPr>
              <w:jc w:val="right"/>
              <w:rPr>
                <w:rFonts w:hint="eastAsia" w:ascii="宋体" w:hAnsi="宋体" w:eastAsia="宋体" w:cs="宋体"/>
                <w:i w:val="0"/>
                <w:iCs w:val="0"/>
                <w:color w:val="auto"/>
                <w:sz w:val="20"/>
                <w:szCs w:val="20"/>
                <w:u w:val="none"/>
              </w:rPr>
            </w:pPr>
          </w:p>
        </w:tc>
      </w:tr>
      <w:tr w14:paraId="46D0A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29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3BE0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不含增值税总价</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E4F5">
            <w:pPr>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E060">
            <w:pPr>
              <w:jc w:val="both"/>
              <w:rPr>
                <w:rFonts w:hint="eastAsia" w:ascii="宋体" w:hAnsi="宋体" w:eastAsia="宋体" w:cs="宋体"/>
                <w:i w:val="0"/>
                <w:iCs w:val="0"/>
                <w:color w:val="auto"/>
                <w:sz w:val="20"/>
                <w:szCs w:val="20"/>
                <w:u w:val="none"/>
              </w:rPr>
            </w:pPr>
          </w:p>
        </w:tc>
      </w:tr>
      <w:tr w14:paraId="7830D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29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9893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增值税（9%）</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0341">
            <w:pPr>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5DA7">
            <w:pPr>
              <w:jc w:val="both"/>
              <w:rPr>
                <w:rFonts w:hint="eastAsia" w:ascii="宋体" w:hAnsi="宋体" w:eastAsia="宋体" w:cs="宋体"/>
                <w:i w:val="0"/>
                <w:iCs w:val="0"/>
                <w:color w:val="auto"/>
                <w:sz w:val="20"/>
                <w:szCs w:val="20"/>
                <w:u w:val="none"/>
              </w:rPr>
            </w:pPr>
          </w:p>
        </w:tc>
      </w:tr>
      <w:tr w14:paraId="6E5D9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29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1AFC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含增值税合计</w:t>
            </w:r>
          </w:p>
        </w:tc>
        <w:tc>
          <w:tcPr>
            <w:tcW w:w="2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7449">
            <w:pPr>
              <w:rPr>
                <w:rFonts w:hint="eastAsia" w:ascii="宋体" w:hAnsi="宋体" w:eastAsia="宋体" w:cs="宋体"/>
                <w:i w:val="0"/>
                <w:iCs w:val="0"/>
                <w:color w:val="auto"/>
                <w:sz w:val="20"/>
                <w:szCs w:val="20"/>
                <w:u w:val="none"/>
              </w:rPr>
            </w:pPr>
          </w:p>
        </w:tc>
        <w:tc>
          <w:tcPr>
            <w:tcW w:w="25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ABDF">
            <w:pPr>
              <w:jc w:val="both"/>
              <w:rPr>
                <w:rFonts w:hint="eastAsia" w:ascii="宋体" w:hAnsi="宋体" w:eastAsia="宋体" w:cs="宋体"/>
                <w:i w:val="0"/>
                <w:iCs w:val="0"/>
                <w:color w:val="auto"/>
                <w:sz w:val="20"/>
                <w:szCs w:val="20"/>
                <w:u w:val="none"/>
              </w:rPr>
            </w:pPr>
          </w:p>
        </w:tc>
      </w:tr>
      <w:tr w14:paraId="7E389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 w:hRule="atLeast"/>
        </w:trPr>
        <w:tc>
          <w:tcPr>
            <w:tcW w:w="1033" w:type="dxa"/>
            <w:tcBorders>
              <w:top w:val="nil"/>
              <w:left w:val="nil"/>
              <w:bottom w:val="nil"/>
              <w:right w:val="nil"/>
            </w:tcBorders>
            <w:shd w:val="clear" w:color="auto" w:fill="auto"/>
            <w:noWrap/>
            <w:vAlign w:val="center"/>
          </w:tcPr>
          <w:p w14:paraId="12D50837">
            <w:pPr>
              <w:rPr>
                <w:rFonts w:hint="eastAsia" w:ascii="宋体" w:hAnsi="宋体" w:eastAsia="宋体" w:cs="宋体"/>
                <w:i w:val="0"/>
                <w:iCs w:val="0"/>
                <w:color w:val="auto"/>
                <w:sz w:val="22"/>
                <w:szCs w:val="22"/>
                <w:u w:val="none"/>
              </w:rPr>
            </w:pPr>
          </w:p>
        </w:tc>
        <w:tc>
          <w:tcPr>
            <w:tcW w:w="355" w:type="dxa"/>
            <w:tcBorders>
              <w:top w:val="nil"/>
              <w:left w:val="nil"/>
              <w:bottom w:val="nil"/>
              <w:right w:val="nil"/>
            </w:tcBorders>
            <w:shd w:val="clear" w:color="auto" w:fill="auto"/>
            <w:noWrap/>
            <w:vAlign w:val="center"/>
          </w:tcPr>
          <w:p w14:paraId="70B3C1EE">
            <w:pPr>
              <w:rPr>
                <w:rFonts w:hint="eastAsia" w:ascii="宋体" w:hAnsi="宋体" w:eastAsia="宋体" w:cs="宋体"/>
                <w:i w:val="0"/>
                <w:iCs w:val="0"/>
                <w:color w:val="auto"/>
                <w:sz w:val="22"/>
                <w:szCs w:val="22"/>
                <w:u w:val="none"/>
              </w:rPr>
            </w:pPr>
          </w:p>
        </w:tc>
        <w:tc>
          <w:tcPr>
            <w:tcW w:w="1541" w:type="dxa"/>
            <w:tcBorders>
              <w:top w:val="nil"/>
              <w:left w:val="nil"/>
              <w:bottom w:val="nil"/>
              <w:right w:val="nil"/>
            </w:tcBorders>
            <w:shd w:val="clear" w:color="auto" w:fill="auto"/>
            <w:noWrap/>
            <w:vAlign w:val="center"/>
          </w:tcPr>
          <w:p w14:paraId="5B2E1263">
            <w:pPr>
              <w:rPr>
                <w:rFonts w:hint="eastAsia" w:ascii="宋体" w:hAnsi="宋体" w:eastAsia="宋体" w:cs="宋体"/>
                <w:i w:val="0"/>
                <w:iCs w:val="0"/>
                <w:color w:val="auto"/>
                <w:sz w:val="22"/>
                <w:szCs w:val="22"/>
                <w:u w:val="none"/>
              </w:rPr>
            </w:pPr>
          </w:p>
        </w:tc>
        <w:tc>
          <w:tcPr>
            <w:tcW w:w="2965" w:type="dxa"/>
            <w:tcBorders>
              <w:top w:val="nil"/>
              <w:left w:val="nil"/>
              <w:bottom w:val="nil"/>
              <w:right w:val="nil"/>
            </w:tcBorders>
            <w:shd w:val="clear" w:color="auto" w:fill="auto"/>
            <w:noWrap/>
            <w:vAlign w:val="center"/>
          </w:tcPr>
          <w:p w14:paraId="6153A308">
            <w:pPr>
              <w:rPr>
                <w:rFonts w:hint="eastAsia" w:ascii="宋体" w:hAnsi="宋体" w:eastAsia="宋体" w:cs="宋体"/>
                <w:i w:val="0"/>
                <w:iCs w:val="0"/>
                <w:color w:val="auto"/>
                <w:sz w:val="22"/>
                <w:szCs w:val="22"/>
                <w:u w:val="none"/>
              </w:rPr>
            </w:pPr>
          </w:p>
        </w:tc>
        <w:tc>
          <w:tcPr>
            <w:tcW w:w="2586" w:type="dxa"/>
            <w:tcBorders>
              <w:top w:val="nil"/>
              <w:left w:val="nil"/>
              <w:bottom w:val="nil"/>
              <w:right w:val="nil"/>
            </w:tcBorders>
            <w:shd w:val="clear" w:color="auto" w:fill="auto"/>
            <w:noWrap/>
            <w:vAlign w:val="center"/>
          </w:tcPr>
          <w:p w14:paraId="59E2AF58">
            <w:pPr>
              <w:rPr>
                <w:rFonts w:hint="eastAsia" w:ascii="宋体" w:hAnsi="宋体" w:eastAsia="宋体" w:cs="宋体"/>
                <w:i w:val="0"/>
                <w:iCs w:val="0"/>
                <w:color w:val="auto"/>
                <w:sz w:val="22"/>
                <w:szCs w:val="22"/>
                <w:u w:val="none"/>
              </w:rPr>
            </w:pPr>
          </w:p>
        </w:tc>
      </w:tr>
      <w:tr w14:paraId="13CA1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1033" w:type="dxa"/>
            <w:tcBorders>
              <w:top w:val="nil"/>
              <w:left w:val="nil"/>
              <w:bottom w:val="nil"/>
              <w:right w:val="nil"/>
            </w:tcBorders>
            <w:shd w:val="clear" w:color="auto" w:fill="auto"/>
            <w:noWrap/>
            <w:vAlign w:val="center"/>
          </w:tcPr>
          <w:p w14:paraId="7A00FAC3">
            <w:pPr>
              <w:rPr>
                <w:rFonts w:hint="eastAsia" w:ascii="宋体" w:hAnsi="宋体" w:eastAsia="宋体" w:cs="宋体"/>
                <w:i w:val="0"/>
                <w:iCs w:val="0"/>
                <w:color w:val="auto"/>
                <w:sz w:val="22"/>
                <w:szCs w:val="22"/>
                <w:u w:val="none"/>
              </w:rPr>
            </w:pPr>
          </w:p>
        </w:tc>
        <w:tc>
          <w:tcPr>
            <w:tcW w:w="355" w:type="dxa"/>
            <w:tcBorders>
              <w:top w:val="nil"/>
              <w:left w:val="nil"/>
              <w:bottom w:val="nil"/>
              <w:right w:val="nil"/>
            </w:tcBorders>
            <w:shd w:val="clear" w:color="auto" w:fill="auto"/>
            <w:noWrap/>
            <w:vAlign w:val="center"/>
          </w:tcPr>
          <w:p w14:paraId="11C9573C">
            <w:pPr>
              <w:rPr>
                <w:rFonts w:hint="eastAsia" w:ascii="宋体" w:hAnsi="宋体" w:eastAsia="宋体" w:cs="宋体"/>
                <w:i w:val="0"/>
                <w:iCs w:val="0"/>
                <w:color w:val="auto"/>
                <w:sz w:val="22"/>
                <w:szCs w:val="22"/>
                <w:u w:val="none"/>
              </w:rPr>
            </w:pPr>
          </w:p>
        </w:tc>
        <w:tc>
          <w:tcPr>
            <w:tcW w:w="1541" w:type="dxa"/>
            <w:tcBorders>
              <w:top w:val="nil"/>
              <w:left w:val="nil"/>
              <w:bottom w:val="nil"/>
              <w:right w:val="nil"/>
            </w:tcBorders>
            <w:shd w:val="clear" w:color="auto" w:fill="auto"/>
            <w:noWrap/>
            <w:vAlign w:val="center"/>
          </w:tcPr>
          <w:p w14:paraId="2A2C53EF">
            <w:pPr>
              <w:rPr>
                <w:rFonts w:hint="eastAsia" w:ascii="宋体" w:hAnsi="宋体" w:eastAsia="宋体" w:cs="宋体"/>
                <w:i w:val="0"/>
                <w:iCs w:val="0"/>
                <w:color w:val="auto"/>
                <w:sz w:val="22"/>
                <w:szCs w:val="22"/>
                <w:u w:val="none"/>
              </w:rPr>
            </w:pPr>
          </w:p>
        </w:tc>
        <w:tc>
          <w:tcPr>
            <w:tcW w:w="5551" w:type="dxa"/>
            <w:gridSpan w:val="2"/>
            <w:tcBorders>
              <w:top w:val="nil"/>
              <w:left w:val="nil"/>
              <w:bottom w:val="nil"/>
              <w:right w:val="nil"/>
            </w:tcBorders>
            <w:shd w:val="clear" w:color="auto" w:fill="auto"/>
            <w:noWrap/>
            <w:vAlign w:val="center"/>
          </w:tcPr>
          <w:p w14:paraId="7BC1F109">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报价单位： </w:t>
            </w:r>
          </w:p>
        </w:tc>
      </w:tr>
      <w:tr w14:paraId="4E5F5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1033" w:type="dxa"/>
            <w:tcBorders>
              <w:top w:val="nil"/>
              <w:left w:val="nil"/>
              <w:bottom w:val="nil"/>
              <w:right w:val="nil"/>
            </w:tcBorders>
            <w:shd w:val="clear" w:color="auto" w:fill="auto"/>
            <w:noWrap/>
            <w:vAlign w:val="center"/>
          </w:tcPr>
          <w:p w14:paraId="2E5D4257">
            <w:pPr>
              <w:rPr>
                <w:rFonts w:hint="eastAsia" w:ascii="宋体" w:hAnsi="宋体" w:eastAsia="宋体" w:cs="宋体"/>
                <w:i w:val="0"/>
                <w:iCs w:val="0"/>
                <w:color w:val="auto"/>
                <w:sz w:val="22"/>
                <w:szCs w:val="22"/>
                <w:u w:val="none"/>
              </w:rPr>
            </w:pPr>
          </w:p>
        </w:tc>
        <w:tc>
          <w:tcPr>
            <w:tcW w:w="355" w:type="dxa"/>
            <w:tcBorders>
              <w:top w:val="nil"/>
              <w:left w:val="nil"/>
              <w:bottom w:val="nil"/>
              <w:right w:val="nil"/>
            </w:tcBorders>
            <w:shd w:val="clear" w:color="auto" w:fill="auto"/>
            <w:noWrap/>
            <w:vAlign w:val="center"/>
          </w:tcPr>
          <w:p w14:paraId="1CC2E0A2">
            <w:pPr>
              <w:rPr>
                <w:rFonts w:hint="eastAsia" w:ascii="宋体" w:hAnsi="宋体" w:eastAsia="宋体" w:cs="宋体"/>
                <w:i w:val="0"/>
                <w:iCs w:val="0"/>
                <w:color w:val="auto"/>
                <w:sz w:val="22"/>
                <w:szCs w:val="22"/>
                <w:u w:val="none"/>
              </w:rPr>
            </w:pPr>
          </w:p>
        </w:tc>
        <w:tc>
          <w:tcPr>
            <w:tcW w:w="1541" w:type="dxa"/>
            <w:tcBorders>
              <w:top w:val="nil"/>
              <w:left w:val="nil"/>
              <w:bottom w:val="nil"/>
              <w:right w:val="nil"/>
            </w:tcBorders>
            <w:shd w:val="clear" w:color="auto" w:fill="auto"/>
            <w:noWrap/>
            <w:vAlign w:val="center"/>
          </w:tcPr>
          <w:p w14:paraId="675A84A5">
            <w:pPr>
              <w:rPr>
                <w:rFonts w:hint="eastAsia" w:ascii="宋体" w:hAnsi="宋体" w:eastAsia="宋体" w:cs="宋体"/>
                <w:i w:val="0"/>
                <w:iCs w:val="0"/>
                <w:color w:val="auto"/>
                <w:sz w:val="22"/>
                <w:szCs w:val="22"/>
                <w:u w:val="none"/>
              </w:rPr>
            </w:pPr>
          </w:p>
        </w:tc>
        <w:tc>
          <w:tcPr>
            <w:tcW w:w="5551" w:type="dxa"/>
            <w:gridSpan w:val="2"/>
            <w:tcBorders>
              <w:top w:val="nil"/>
              <w:left w:val="nil"/>
              <w:bottom w:val="nil"/>
              <w:right w:val="nil"/>
            </w:tcBorders>
            <w:shd w:val="clear" w:color="auto" w:fill="auto"/>
            <w:noWrap/>
            <w:vAlign w:val="center"/>
          </w:tcPr>
          <w:p w14:paraId="2E2F4202">
            <w:pPr>
              <w:keepNext w:val="0"/>
              <w:keepLines w:val="0"/>
              <w:widowControl/>
              <w:suppressLineNumbers w:val="0"/>
              <w:jc w:val="both"/>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联系人：       电话： </w:t>
            </w:r>
          </w:p>
        </w:tc>
      </w:tr>
      <w:tr w14:paraId="62793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 w:hRule="atLeast"/>
        </w:trPr>
        <w:tc>
          <w:tcPr>
            <w:tcW w:w="1033" w:type="dxa"/>
            <w:tcBorders>
              <w:top w:val="nil"/>
              <w:left w:val="nil"/>
              <w:bottom w:val="nil"/>
              <w:right w:val="nil"/>
            </w:tcBorders>
            <w:shd w:val="clear" w:color="auto" w:fill="auto"/>
            <w:noWrap/>
            <w:vAlign w:val="center"/>
          </w:tcPr>
          <w:p w14:paraId="120D5180">
            <w:pPr>
              <w:rPr>
                <w:rFonts w:hint="eastAsia" w:ascii="宋体" w:hAnsi="宋体" w:eastAsia="宋体" w:cs="宋体"/>
                <w:i w:val="0"/>
                <w:iCs w:val="0"/>
                <w:color w:val="auto"/>
                <w:sz w:val="22"/>
                <w:szCs w:val="22"/>
                <w:u w:val="none"/>
              </w:rPr>
            </w:pPr>
          </w:p>
        </w:tc>
        <w:tc>
          <w:tcPr>
            <w:tcW w:w="355" w:type="dxa"/>
            <w:tcBorders>
              <w:top w:val="nil"/>
              <w:left w:val="nil"/>
              <w:bottom w:val="nil"/>
              <w:right w:val="nil"/>
            </w:tcBorders>
            <w:shd w:val="clear" w:color="auto" w:fill="auto"/>
            <w:noWrap/>
            <w:vAlign w:val="center"/>
          </w:tcPr>
          <w:p w14:paraId="0E1924D9">
            <w:pPr>
              <w:rPr>
                <w:rFonts w:hint="eastAsia" w:ascii="宋体" w:hAnsi="宋体" w:eastAsia="宋体" w:cs="宋体"/>
                <w:i w:val="0"/>
                <w:iCs w:val="0"/>
                <w:color w:val="auto"/>
                <w:sz w:val="22"/>
                <w:szCs w:val="22"/>
                <w:u w:val="none"/>
              </w:rPr>
            </w:pPr>
          </w:p>
        </w:tc>
        <w:tc>
          <w:tcPr>
            <w:tcW w:w="1541" w:type="dxa"/>
            <w:tcBorders>
              <w:top w:val="nil"/>
              <w:left w:val="nil"/>
              <w:bottom w:val="nil"/>
              <w:right w:val="nil"/>
            </w:tcBorders>
            <w:shd w:val="clear" w:color="auto" w:fill="auto"/>
            <w:noWrap/>
            <w:vAlign w:val="center"/>
          </w:tcPr>
          <w:p w14:paraId="0956F1DC">
            <w:pPr>
              <w:rPr>
                <w:rFonts w:hint="eastAsia" w:ascii="宋体" w:hAnsi="宋体" w:eastAsia="宋体" w:cs="宋体"/>
                <w:i w:val="0"/>
                <w:iCs w:val="0"/>
                <w:color w:val="auto"/>
                <w:sz w:val="22"/>
                <w:szCs w:val="22"/>
                <w:u w:val="none"/>
              </w:rPr>
            </w:pPr>
          </w:p>
        </w:tc>
        <w:tc>
          <w:tcPr>
            <w:tcW w:w="5551" w:type="dxa"/>
            <w:gridSpan w:val="2"/>
            <w:tcBorders>
              <w:top w:val="nil"/>
              <w:left w:val="nil"/>
              <w:bottom w:val="nil"/>
              <w:right w:val="nil"/>
            </w:tcBorders>
            <w:shd w:val="clear" w:color="auto" w:fill="auto"/>
            <w:noWrap/>
            <w:vAlign w:val="center"/>
          </w:tcPr>
          <w:p w14:paraId="490376C0">
            <w:pPr>
              <w:keepNext w:val="0"/>
              <w:keepLines w:val="0"/>
              <w:widowControl/>
              <w:suppressLineNumbers w:val="0"/>
              <w:jc w:val="both"/>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 xml:space="preserve">日期：    </w:t>
            </w:r>
          </w:p>
        </w:tc>
      </w:tr>
    </w:tbl>
    <w:p w14:paraId="5B8632AD">
      <w:pPr>
        <w:rPr>
          <w:rFonts w:hint="eastAsia" w:ascii="宋体" w:hAnsi="宋体" w:eastAsia="宋体" w:cs="宋体"/>
          <w:color w:val="auto"/>
          <w:sz w:val="20"/>
          <w:szCs w:val="20"/>
          <w:highlight w:val="none"/>
          <w:lang w:val="zh-CN" w:eastAsia="zh-CN" w:bidi="zh-CN"/>
        </w:rPr>
      </w:pPr>
    </w:p>
    <w:p w14:paraId="7C279E10">
      <w:pPr>
        <w:pStyle w:val="3"/>
        <w:rPr>
          <w:rFonts w:hint="eastAsia" w:ascii="宋体" w:hAnsi="宋体" w:eastAsia="宋体" w:cs="宋体"/>
          <w:color w:val="auto"/>
          <w:sz w:val="20"/>
          <w:szCs w:val="20"/>
          <w:highlight w:val="none"/>
          <w:lang w:val="zh-CN" w:eastAsia="zh-CN" w:bidi="zh-CN"/>
        </w:rPr>
      </w:pPr>
    </w:p>
    <w:p w14:paraId="760C19D7">
      <w:pPr>
        <w:pStyle w:val="12"/>
        <w:ind w:left="0" w:leftChars="0" w:firstLine="0" w:firstLineChars="0"/>
        <w:jc w:val="both"/>
        <w:rPr>
          <w:rFonts w:hint="eastAsia" w:ascii="宋体" w:hAnsi="宋体" w:eastAsia="宋体" w:cs="宋体"/>
          <w:color w:val="auto"/>
          <w:sz w:val="20"/>
          <w:szCs w:val="20"/>
          <w:highlight w:val="none"/>
          <w:lang w:val="zh-CN" w:eastAsia="zh-CN" w:bidi="zh-CN"/>
        </w:rPr>
      </w:pPr>
    </w:p>
    <w:p w14:paraId="0DDD654D">
      <w:pPr>
        <w:rPr>
          <w:rFonts w:hint="eastAsia"/>
          <w:color w:val="auto"/>
          <w:lang w:val="zh-CN" w:eastAsia="zh-CN"/>
        </w:rPr>
      </w:pPr>
    </w:p>
    <w:p w14:paraId="1E3454A0">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4D8D934D">
      <w:pPr>
        <w:jc w:val="center"/>
        <w:rPr>
          <w:rFonts w:hint="eastAsia" w:ascii="仿宋" w:hAnsi="仿宋" w:eastAsia="仿宋" w:cs="Times New Roman"/>
          <w:b/>
          <w:color w:val="auto"/>
          <w:sz w:val="36"/>
          <w:szCs w:val="36"/>
        </w:rPr>
      </w:pPr>
      <w:r>
        <w:rPr>
          <w:rFonts w:hint="eastAsia" w:ascii="仿宋" w:hAnsi="仿宋" w:eastAsia="仿宋" w:cs="Times New Roman"/>
          <w:b/>
          <w:color w:val="auto"/>
          <w:sz w:val="36"/>
          <w:szCs w:val="36"/>
        </w:rPr>
        <w:t>施工分包合同</w:t>
      </w:r>
    </w:p>
    <w:p w14:paraId="37517B51">
      <w:pPr>
        <w:spacing w:line="280" w:lineRule="exact"/>
        <w:ind w:right="630"/>
        <w:jc w:val="right"/>
        <w:rPr>
          <w:rFonts w:hint="eastAsia" w:ascii="仿宋" w:hAnsi="仿宋" w:eastAsia="仿宋" w:cs="Times New Roman"/>
          <w:color w:val="auto"/>
          <w:sz w:val="24"/>
        </w:rPr>
      </w:pPr>
    </w:p>
    <w:p w14:paraId="59E7B0BC">
      <w:pPr>
        <w:spacing w:line="360" w:lineRule="auto"/>
        <w:ind w:right="0" w:rightChars="0" w:firstLine="4320" w:firstLineChars="1800"/>
        <w:rPr>
          <w:rFonts w:hint="default" w:ascii="仿宋" w:hAnsi="仿宋" w:eastAsia="仿宋" w:cs="Times New Roman"/>
          <w:color w:val="auto"/>
          <w:sz w:val="24"/>
          <w:lang w:val="en-US" w:eastAsia="zh-CN"/>
        </w:rPr>
      </w:pPr>
      <w:r>
        <w:rPr>
          <w:rFonts w:hint="eastAsia" w:ascii="仿宋" w:hAnsi="仿宋" w:eastAsia="仿宋" w:cs="Times New Roman"/>
          <w:color w:val="auto"/>
          <w:sz w:val="24"/>
        </w:rPr>
        <w:t>分包合同编号：</w:t>
      </w:r>
      <w:r>
        <w:rPr>
          <w:rFonts w:hint="eastAsia" w:ascii="仿宋" w:hAnsi="仿宋" w:eastAsia="仿宋" w:cs="Times New Roman"/>
          <w:color w:val="auto"/>
          <w:sz w:val="24"/>
          <w:lang w:val="en-US" w:eastAsia="zh-CN"/>
        </w:rPr>
        <w:t xml:space="preserve">   </w:t>
      </w:r>
    </w:p>
    <w:p w14:paraId="679638EB">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工程项目：</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 xml:space="preserve">  </w:t>
      </w:r>
    </w:p>
    <w:p w14:paraId="08CCAC7D">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合同段：</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p>
    <w:p w14:paraId="06F0005D">
      <w:pPr>
        <w:spacing w:line="360" w:lineRule="auto"/>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rPr>
        <w:t>甲方(</w:t>
      </w:r>
      <w:r>
        <w:rPr>
          <w:rFonts w:hint="eastAsia" w:ascii="仿宋" w:hAnsi="仿宋" w:eastAsia="仿宋" w:cs="Times New Roman"/>
          <w:color w:val="auto"/>
          <w:sz w:val="24"/>
          <w:lang w:val="en-US" w:eastAsia="zh-CN"/>
        </w:rPr>
        <w:t>总承包人</w:t>
      </w:r>
      <w:r>
        <w:rPr>
          <w:rFonts w:hint="eastAsia" w:ascii="仿宋" w:hAnsi="仿宋" w:eastAsia="仿宋" w:cs="Times New Roman"/>
          <w:color w:val="auto"/>
          <w:sz w:val="24"/>
        </w:rPr>
        <w:t>) ：</w:t>
      </w:r>
      <w:r>
        <w:rPr>
          <w:rFonts w:hint="eastAsia" w:ascii="仿宋" w:hAnsi="仿宋" w:eastAsia="仿宋" w:cs="Times New Roman"/>
          <w:color w:val="auto"/>
          <w:sz w:val="24"/>
          <w:u w:val="single"/>
          <w:lang w:val="en-US" w:eastAsia="zh-CN"/>
        </w:rPr>
        <w:t xml:space="preserve">     </w:t>
      </w:r>
    </w:p>
    <w:p w14:paraId="154C8DD3">
      <w:pPr>
        <w:spacing w:line="360" w:lineRule="auto"/>
        <w:rPr>
          <w:rFonts w:hint="default" w:ascii="仿宋" w:hAnsi="仿宋" w:eastAsia="仿宋" w:cs="Times New Roman"/>
          <w:color w:val="auto"/>
          <w:sz w:val="24"/>
          <w:lang w:val="en-US" w:eastAsia="zh-CN"/>
        </w:rPr>
      </w:pP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分</w:t>
      </w:r>
      <w:r>
        <w:rPr>
          <w:rFonts w:hint="eastAsia" w:ascii="仿宋" w:hAnsi="仿宋" w:eastAsia="仿宋" w:cs="Times New Roman"/>
          <w:color w:val="auto"/>
          <w:sz w:val="24"/>
          <w:lang w:eastAsia="zh-CN"/>
        </w:rPr>
        <w:t>包人</w:t>
      </w:r>
      <w:r>
        <w:rPr>
          <w:rFonts w:hint="eastAsia" w:ascii="仿宋" w:hAnsi="仿宋" w:eastAsia="仿宋" w:cs="Times New Roman"/>
          <w:color w:val="auto"/>
          <w:sz w:val="24"/>
        </w:rPr>
        <w:t>) ：</w:t>
      </w:r>
      <w:r>
        <w:rPr>
          <w:rFonts w:hint="eastAsia" w:ascii="仿宋" w:hAnsi="仿宋" w:eastAsia="仿宋" w:cs="Times New Roman"/>
          <w:color w:val="auto"/>
          <w:sz w:val="24"/>
          <w:u w:val="single"/>
          <w:lang w:val="en-US" w:eastAsia="zh-CN"/>
        </w:rPr>
        <w:t xml:space="preserve">    </w:t>
      </w:r>
    </w:p>
    <w:p w14:paraId="5D1A1CBC">
      <w:pPr>
        <w:spacing w:line="360" w:lineRule="auto"/>
        <w:rPr>
          <w:rFonts w:hint="eastAsia" w:ascii="仿宋" w:hAnsi="仿宋" w:eastAsia="仿宋" w:cs="Times New Roman"/>
          <w:color w:val="auto"/>
          <w:sz w:val="24"/>
        </w:rPr>
      </w:pPr>
    </w:p>
    <w:p w14:paraId="49CE414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依照《中华人民共和国民法典》及其他有关法律、法规和规章，遵循平等、自愿、公平和诚实信用的原则，鉴于甲方与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（以下简称“业主”）签订《</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合同》（以下简称“主合同”），由乙方承担本标段的部份分项工程，为明确双方</w:t>
      </w:r>
      <w:r>
        <w:rPr>
          <w:rFonts w:hint="eastAsia" w:ascii="仿宋" w:hAnsi="仿宋" w:eastAsia="仿宋" w:cs="Times New Roman"/>
          <w:color w:val="auto"/>
          <w:sz w:val="24"/>
          <w:lang w:val="en-US" w:eastAsia="zh-CN"/>
        </w:rPr>
        <w:t>权利</w:t>
      </w:r>
      <w:r>
        <w:rPr>
          <w:rFonts w:hint="eastAsia" w:ascii="仿宋" w:hAnsi="仿宋" w:eastAsia="仿宋" w:cs="Times New Roman"/>
          <w:color w:val="auto"/>
          <w:sz w:val="24"/>
        </w:rPr>
        <w:t>、</w:t>
      </w:r>
      <w:r>
        <w:rPr>
          <w:rFonts w:hint="eastAsia" w:ascii="仿宋" w:hAnsi="仿宋" w:eastAsia="仿宋" w:cs="Times New Roman"/>
          <w:color w:val="auto"/>
          <w:sz w:val="24"/>
          <w:lang w:val="en-US" w:eastAsia="zh-CN"/>
        </w:rPr>
        <w:t>义务</w:t>
      </w:r>
      <w:r>
        <w:rPr>
          <w:rFonts w:hint="eastAsia" w:ascii="仿宋" w:hAnsi="仿宋" w:eastAsia="仿宋" w:cs="Times New Roman"/>
          <w:color w:val="auto"/>
          <w:sz w:val="24"/>
        </w:rPr>
        <w:t>、</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，甲乙双方就分包专项工程施工事项具体情况，经协商达成一致，订立本合同。</w:t>
      </w:r>
    </w:p>
    <w:p w14:paraId="747B2CFB">
      <w:pPr>
        <w:spacing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1.</w:t>
      </w:r>
      <w:r>
        <w:rPr>
          <w:rFonts w:hint="eastAsia" w:ascii="仿宋" w:hAnsi="仿宋" w:eastAsia="仿宋" w:cs="Times New Roman"/>
          <w:b/>
          <w:color w:val="auto"/>
          <w:sz w:val="24"/>
          <w:lang w:val="en-US" w:eastAsia="zh-CN"/>
        </w:rPr>
        <w:t>分</w:t>
      </w:r>
      <w:r>
        <w:rPr>
          <w:rFonts w:hint="eastAsia" w:ascii="仿宋" w:hAnsi="仿宋" w:eastAsia="仿宋" w:cs="Times New Roman"/>
          <w:b/>
          <w:color w:val="auto"/>
          <w:sz w:val="24"/>
          <w:lang w:eastAsia="zh-CN"/>
        </w:rPr>
        <w:t>包人</w:t>
      </w:r>
      <w:r>
        <w:rPr>
          <w:rFonts w:hint="eastAsia" w:ascii="仿宋" w:hAnsi="仿宋" w:eastAsia="仿宋" w:cs="Times New Roman"/>
          <w:b/>
          <w:color w:val="auto"/>
          <w:sz w:val="24"/>
        </w:rPr>
        <w:t>情况</w:t>
      </w:r>
    </w:p>
    <w:p w14:paraId="1551E544">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1.1</w:t>
      </w:r>
      <w:r>
        <w:rPr>
          <w:rFonts w:hint="eastAsia" w:ascii="仿宋" w:hAnsi="仿宋" w:eastAsia="仿宋" w:cs="Times New Roman"/>
          <w:color w:val="auto"/>
          <w:sz w:val="24"/>
          <w:lang w:val="en-US" w:eastAsia="zh-CN"/>
        </w:rPr>
        <w:t>总承</w:t>
      </w:r>
      <w:r>
        <w:rPr>
          <w:rFonts w:hint="eastAsia" w:ascii="仿宋" w:hAnsi="仿宋" w:eastAsia="仿宋" w:cs="Times New Roman"/>
          <w:color w:val="auto"/>
          <w:sz w:val="24"/>
          <w:lang w:eastAsia="zh-CN"/>
        </w:rPr>
        <w:t>包人</w:t>
      </w:r>
      <w:r>
        <w:rPr>
          <w:rFonts w:hint="eastAsia" w:ascii="仿宋" w:hAnsi="仿宋" w:eastAsia="仿宋" w:cs="Times New Roman"/>
          <w:color w:val="auto"/>
          <w:sz w:val="24"/>
        </w:rPr>
        <w:t>名称：</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；注册地址：</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09AA29BF">
      <w:pPr>
        <w:spacing w:line="360" w:lineRule="auto"/>
        <w:ind w:firstLine="720" w:firstLineChars="300"/>
        <w:jc w:val="left"/>
        <w:rPr>
          <w:rFonts w:hint="eastAsia" w:ascii="仿宋" w:hAnsi="仿宋" w:eastAsia="仿宋" w:cs="Times New Roman"/>
          <w:color w:val="auto"/>
          <w:sz w:val="24"/>
        </w:rPr>
      </w:pPr>
      <w:r>
        <w:rPr>
          <w:rFonts w:hint="eastAsia" w:ascii="仿宋" w:hAnsi="仿宋" w:eastAsia="仿宋" w:cs="Times New Roman"/>
          <w:color w:val="auto"/>
          <w:sz w:val="24"/>
        </w:rPr>
        <w:t>法定代表人姓名：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，职称：</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5BD16376">
      <w:pPr>
        <w:spacing w:line="360" w:lineRule="auto"/>
        <w:ind w:left="719" w:leftChars="228" w:hanging="240" w:hangingChars="100"/>
        <w:rPr>
          <w:rFonts w:hint="eastAsia" w:ascii="仿宋" w:hAnsi="仿宋" w:eastAsia="仿宋" w:cs="Times New Roman"/>
          <w:color w:val="auto"/>
          <w:sz w:val="24"/>
        </w:rPr>
      </w:pPr>
      <w:r>
        <w:rPr>
          <w:rFonts w:hint="eastAsia" w:ascii="仿宋" w:hAnsi="仿宋" w:eastAsia="仿宋" w:cs="Times New Roman"/>
          <w:color w:val="auto"/>
          <w:sz w:val="24"/>
        </w:rPr>
        <w:t>1.2分包项目负责人姓名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，职称：</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，资格：</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13900AD8">
      <w:pPr>
        <w:spacing w:line="360" w:lineRule="auto"/>
        <w:ind w:left="719" w:leftChars="228" w:hanging="240" w:hangingChars="100"/>
        <w:rPr>
          <w:rFonts w:hint="eastAsia" w:ascii="仿宋" w:hAnsi="仿宋" w:eastAsia="仿宋" w:cs="Times New Roman"/>
          <w:color w:val="auto"/>
          <w:sz w:val="24"/>
        </w:rPr>
      </w:pPr>
      <w:r>
        <w:rPr>
          <w:rFonts w:hint="eastAsia" w:ascii="仿宋" w:hAnsi="仿宋" w:eastAsia="仿宋" w:cs="Times New Roman"/>
          <w:color w:val="auto"/>
          <w:sz w:val="24"/>
        </w:rPr>
        <w:t>分包技术负责人姓名：</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，职称：</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，资格：</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p>
    <w:p w14:paraId="3D34DD97">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2.分包专项工程概况</w:t>
      </w:r>
    </w:p>
    <w:p w14:paraId="08A1F086">
      <w:pPr>
        <w:spacing w:line="360" w:lineRule="auto"/>
        <w:ind w:firstLine="480" w:firstLineChars="200"/>
        <w:rPr>
          <w:rFonts w:hint="default" w:ascii="仿宋" w:hAnsi="仿宋" w:eastAsia="仿宋" w:cs="Times New Roman"/>
          <w:color w:val="auto"/>
          <w:sz w:val="24"/>
          <w:lang w:val="en-US" w:eastAsia="zh-CN"/>
        </w:rPr>
      </w:pPr>
      <w:r>
        <w:rPr>
          <w:rFonts w:hint="eastAsia" w:ascii="仿宋" w:hAnsi="仿宋" w:eastAsia="仿宋" w:cs="Times New Roman"/>
          <w:color w:val="auto"/>
          <w:sz w:val="24"/>
        </w:rPr>
        <w:t>2.1分包专项工程名称及地点：</w:t>
      </w:r>
      <w:r>
        <w:rPr>
          <w:rFonts w:hint="eastAsia" w:ascii="仿宋" w:hAnsi="仿宋" w:eastAsia="仿宋" w:cs="Times New Roman"/>
          <w:color w:val="auto"/>
          <w:sz w:val="24"/>
          <w:u w:val="single"/>
          <w:lang w:val="en-US" w:eastAsia="zh-CN"/>
        </w:rPr>
        <w:t xml:space="preserve">        </w:t>
      </w:r>
    </w:p>
    <w:p w14:paraId="0701CCD6">
      <w:pPr>
        <w:spacing w:line="360" w:lineRule="auto"/>
        <w:ind w:firstLine="480" w:firstLineChars="200"/>
        <w:rPr>
          <w:rFonts w:hint="default" w:ascii="仿宋" w:hAnsi="仿宋" w:eastAsia="仿宋" w:cs="Times New Roman"/>
          <w:color w:val="auto"/>
          <w:sz w:val="24"/>
          <w:lang w:val="en-US" w:eastAsia="zh-CN"/>
        </w:rPr>
      </w:pPr>
      <w:r>
        <w:rPr>
          <w:rFonts w:hint="eastAsia" w:ascii="仿宋" w:hAnsi="仿宋" w:eastAsia="仿宋" w:cs="Times New Roman"/>
          <w:color w:val="auto"/>
          <w:sz w:val="24"/>
        </w:rPr>
        <w:t>2.2 分包专项工程范围、内容：</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p>
    <w:p w14:paraId="10F6D89C">
      <w:pPr>
        <w:spacing w:line="360" w:lineRule="auto"/>
        <w:ind w:firstLine="480" w:firstLineChars="200"/>
        <w:rPr>
          <w:rFonts w:hint="eastAsia" w:ascii="仿宋" w:hAnsi="仿宋" w:eastAsia="仿宋" w:cs="Times New Roman"/>
          <w:b/>
          <w:color w:val="auto"/>
          <w:sz w:val="24"/>
        </w:rPr>
      </w:pPr>
      <w:r>
        <w:rPr>
          <w:rFonts w:hint="eastAsia" w:ascii="仿宋" w:hAnsi="仿宋" w:eastAsia="仿宋" w:cs="Times New Roman"/>
          <w:color w:val="auto"/>
          <w:sz w:val="24"/>
        </w:rPr>
        <w:t>2.2.1分包范围和工作内容：负责完成</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lang w:val="en-US" w:eastAsia="zh-CN"/>
        </w:rPr>
        <w:t>项目</w:t>
      </w:r>
      <w:r>
        <w:rPr>
          <w:rFonts w:hint="eastAsia" w:ascii="仿宋" w:hAnsi="仿宋" w:eastAsia="仿宋" w:cs="Times New Roman"/>
          <w:color w:val="auto"/>
          <w:sz w:val="24"/>
        </w:rPr>
        <w:t>施工作业。具体工程数量见</w:t>
      </w:r>
      <w:bookmarkStart w:id="16" w:name="OLE_LINK1"/>
      <w:r>
        <w:rPr>
          <w:rFonts w:hint="eastAsia" w:ascii="仿宋" w:hAnsi="仿宋" w:eastAsia="仿宋" w:cs="Times New Roman"/>
          <w:color w:val="auto"/>
          <w:sz w:val="24"/>
        </w:rPr>
        <w:t>附</w:t>
      </w:r>
      <w:bookmarkEnd w:id="16"/>
      <w:r>
        <w:rPr>
          <w:rFonts w:hint="eastAsia" w:ascii="仿宋" w:hAnsi="仿宋" w:eastAsia="仿宋" w:cs="Times New Roman"/>
          <w:color w:val="auto"/>
          <w:sz w:val="24"/>
        </w:rPr>
        <w:t>表1：《分包专项工程工程量清单》，清单数量为暂定数量，实际数量按业主批复内实际完成数量且经甲乙双方确认的结算数量为准。</w:t>
      </w:r>
      <w:r>
        <w:rPr>
          <w:rFonts w:hint="eastAsia" w:ascii="仿宋" w:hAnsi="仿宋" w:eastAsia="仿宋" w:cs="Times New Roman"/>
          <w:b/>
          <w:color w:val="auto"/>
          <w:sz w:val="24"/>
        </w:rPr>
        <w:t>中间计量及最终结算应由甲方项目经理签字并加盖公章，非上述人员签字盖章的，甲方不予认可。</w:t>
      </w:r>
    </w:p>
    <w:p w14:paraId="7A800B7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2.2.2 乙方负责按本合同约定的分包范围内除甲方负责外的一切施工作业。包括但不限于从进场施工准备、施工全过程到完工交验，缺陷责任期内属乙方缺陷责任的缺陷修复到竣工验收所需的全部施工工作，以及完成前述工作所需的内、外业管理、相关的地方协调工作和必要的未列入清单的临时工程等。</w:t>
      </w:r>
    </w:p>
    <w:p w14:paraId="419323C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 分包方式：</w:t>
      </w:r>
    </w:p>
    <w:p w14:paraId="0F35260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2.3.1本合同采用分项清单综合单价包干的分包方式，综合单价见附表1：《分包专项工程工程量清单》中的单价为准，工程数量按照本合同计量、支付和结算条款确定。</w:t>
      </w:r>
    </w:p>
    <w:p w14:paraId="57EAB43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2.3.2乙方不得以任何形式对本合同工程进行分包、</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w:t>
      </w:r>
    </w:p>
    <w:p w14:paraId="6691D548">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3.分包合同有关款项</w:t>
      </w:r>
    </w:p>
    <w:p w14:paraId="4DBCA6CA">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3.1 分包价款</w:t>
      </w:r>
    </w:p>
    <w:p w14:paraId="76E2692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3.1.1本合同为固定综合单价合同，合同暂定总价为人民币</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），其中不含增值税总价</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），增值税按不含增值税总价的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w:t>
      </w:r>
      <w:r>
        <w:rPr>
          <w:rFonts w:hint="eastAsia" w:ascii="仿宋" w:hAnsi="仿宋" w:eastAsia="仿宋" w:cs="Times New Roman"/>
          <w:color w:val="auto"/>
          <w:sz w:val="24"/>
        </w:rPr>
        <w:t>单列</w:t>
      </w:r>
      <w:r>
        <w:rPr>
          <w:rStyle w:val="10"/>
          <w:rFonts w:hint="eastAsia" w:ascii="仿宋" w:hAnsi="仿宋" w:eastAsia="仿宋" w:cs="宋体"/>
          <w:b w:val="0"/>
          <w:color w:val="auto"/>
          <w:sz w:val="24"/>
        </w:rPr>
        <w:t>（增值税税率随国家政策和适用税率同步调整）</w:t>
      </w:r>
      <w:r>
        <w:rPr>
          <w:rFonts w:hint="eastAsia" w:ascii="仿宋" w:hAnsi="仿宋" w:eastAsia="仿宋" w:cs="Times New Roman"/>
          <w:color w:val="auto"/>
          <w:sz w:val="24"/>
        </w:rPr>
        <w:t>；本合同暂定总价不作为双方最终结算的依据。合同单价和暂估数量见附表1：《分包专项工程工程量清单》。实际合同总价根据乙方实际完成，由甲方确认并经监理人签认的数量按本合同后附清单所列固定单价进行计算，并结合本合同条款进行结算支付。</w:t>
      </w:r>
    </w:p>
    <w:p w14:paraId="35421B2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3.1.2上述合同单价已包括了乙方为实施和完成上述工程量清单细目内容及其附属工作及缺陷修复工作所发生的一切费用，以及合同明示或暗示的一切风险、责任和义务。涉及工程量清单中未列的子目，其费用参照总包合同相关计量有关条款办理。</w:t>
      </w:r>
    </w:p>
    <w:p w14:paraId="3CD8EA0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3.1.3 本合同劳务计价清单综合单价和不含增值税总价包括：人工费、机械费、材料费（甲供部分除外）、保险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本合同综合单价已经充分考虑了各种可能影响正常施工的因素以及市场风险，除甲乙双方协商一致签订书面变更协议外，本合同综合单价不因任何原因而调整。</w:t>
      </w:r>
    </w:p>
    <w:p w14:paraId="2791698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因工程变更导致新的工程项目出现时，变更部分工程的综合单价按以下原则确定：</w:t>
      </w:r>
    </w:p>
    <w:p w14:paraId="4DA4A11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3.1.4 变更工程项目在附表1：《分包专项工程工程量清单》中有相对应项目的，套用附表1《分包专项工程工程量清单》中相应项目的综合单价执行。</w:t>
      </w:r>
    </w:p>
    <w:p w14:paraId="037B638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3.1.5变更工程项目在附表1《分包专项工程工程量清单》中没有相对应项目的，以经双方确认的该项目的成本加合理的利润、税金作为综合单价。</w:t>
      </w:r>
    </w:p>
    <w:p w14:paraId="428B9EE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3.1.6当乙方在甲方要求下实施合同清单外的项目即变更工程或者本合同实际施工的数量已经超过合同清单数量时，甲乙双方必须签订补充协议。</w:t>
      </w:r>
    </w:p>
    <w:p w14:paraId="58194758">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3.2履约保函或保留金：</w:t>
      </w:r>
    </w:p>
    <w:p w14:paraId="56B48F5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3.2.1乙方与甲方签订合同后的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天内，应向甲方交纳</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：（a 履约保函；b履约保证金），即：</w:t>
      </w:r>
    </w:p>
    <w:p w14:paraId="1CD22FA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a.分包合同价的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％履约保函。</w:t>
      </w:r>
    </w:p>
    <w:p w14:paraId="60B53BC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b.分包合同价的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％保留金计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w:t>
      </w:r>
    </w:p>
    <w:p w14:paraId="75E7863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3.2.2乙方严格履行了本合同规定的各项事宜，施工任务如期完工，工程质量达到甲方向发包人承诺的质量要求，无安全责任事故发生，未遗留各种纠纷，在本合同履行完毕后，给予全额退还保留金，否则甲方继续扣留或扣除部分或全部保留金。</w:t>
      </w:r>
    </w:p>
    <w:p w14:paraId="6B7E7D08">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3.3有关本分包专项工程款项约定</w:t>
      </w:r>
    </w:p>
    <w:p w14:paraId="11935D9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3.3.1若在缺陷责任期内发生涉及乙方施工项目的维修费用，则由乙方全额承担，并在保留金中扣除。</w:t>
      </w:r>
    </w:p>
    <w:p w14:paraId="678458C5">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color w:val="auto"/>
          <w:sz w:val="24"/>
        </w:rPr>
        <w:t>3.3.2安全生产费用按总包合同的专用条款的规定进行计量支付，按实投入使用，</w:t>
      </w:r>
      <w:r>
        <w:rPr>
          <w:rFonts w:hint="eastAsia" w:ascii="仿宋" w:hAnsi="仿宋" w:eastAsia="仿宋" w:cs="Times New Roman"/>
          <w:bCs/>
          <w:color w:val="auto"/>
          <w:sz w:val="24"/>
        </w:rPr>
        <w:t>承建工程竣工后，最终由甲乙双方结算。</w:t>
      </w:r>
    </w:p>
    <w:p w14:paraId="64E02A8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3.3.3农民工工资支付保证金按项目专用条款或发包人规定的比例在计量支付时提取，在乙方项目完工并出具无拖欠农民工工资承诺后退还。</w:t>
      </w:r>
    </w:p>
    <w:p w14:paraId="07211FA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3.3.4本合同约定的所有保证金、保留金等到期无争议需要返还的，均不计利息。</w:t>
      </w:r>
    </w:p>
    <w:p w14:paraId="0F5A1A7A">
      <w:pPr>
        <w:spacing w:before="156" w:beforeLines="50"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4．双方责任</w:t>
      </w:r>
    </w:p>
    <w:p w14:paraId="1977475B">
      <w:pPr>
        <w:adjustRightInd w:val="0"/>
        <w:snapToGrid w:val="0"/>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4.1甲方的责任：</w:t>
      </w:r>
    </w:p>
    <w:p w14:paraId="26E43F46">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4.1.1负责协调与业主和有关单位的关系。</w:t>
      </w:r>
    </w:p>
    <w:p w14:paraId="65EF8D3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4.1.2负责提供有关的图纸，技术规范，提供合格的控制桩和水准点，做好施工技术交底和工程验收工作。</w:t>
      </w:r>
    </w:p>
    <w:p w14:paraId="598C2FA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4.1.3负责按时提供为完成本合同约定的分项工程所需的原材料、半成品料、周转材料等由甲方负责的事项，验收乙方自购材料质量。</w:t>
      </w:r>
    </w:p>
    <w:p w14:paraId="58DA406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4.1.4负责本标段的控制测量，提交合格的控制点给乙方；组建工地试验室，负责试验室来样的试验工作，取样、试块制作等工作乙方有义务配合。</w:t>
      </w:r>
    </w:p>
    <w:p w14:paraId="3D546D2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4.1.5按合同要求进行计量、结算、支付。</w:t>
      </w:r>
    </w:p>
    <w:p w14:paraId="1C9197B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4.1.6对乙方的工程质量、安全、进度、工程款进行严格的监督控制，派施工员负责现场协调管理、工程验收等工作。</w:t>
      </w:r>
    </w:p>
    <w:p w14:paraId="6EB30E6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4.1.7执行本分包合同条款，依据项目总体施工组织设计对其施工全过程统一指挥与管理，组织施工调度会及生产例会，下达生产计划，合理安排乙方的各项工作。</w:t>
      </w:r>
    </w:p>
    <w:p w14:paraId="15BC0D7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4.1.8安全生产管理责任按本合同第10条和《安全生产协议》《安全生产责任书》执行。</w:t>
      </w:r>
    </w:p>
    <w:p w14:paraId="0512D9F3">
      <w:pPr>
        <w:adjustRightInd w:val="0"/>
        <w:snapToGrid w:val="0"/>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4.2乙方的责任：</w:t>
      </w:r>
    </w:p>
    <w:p w14:paraId="15A989A3">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4.2.1按甲方的要求配备相应的机械和人员，服从甲方的调度指挥，完成合同范围的施工任务。</w:t>
      </w:r>
    </w:p>
    <w:p w14:paraId="26B7502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需成立健全的组织机构，配备“项目经理、现场副经理、总工”以及“工程技术、测量、安全质量、环保、物资、设备、计量、财务、试验”等相应管理和技术人员，主要人员资质需符合甲方要求。乙方应将组织机构及人员情况（需注明姓名、性别、年龄、职务、职称、学历证书、从业资格证书、业绩、身份证号码、电话号码等）报送甲方备案，同时按甲方要求提供相应证件供建设、监理单位核查，并在施工中保持稳定。施工过程中，接受甲方对相关人员的考核和评估，对认定为不适合的管理人员，限期内执行完毕甲方的更换指令。除甲方更换指令外，不得随意变更，如有更换，必须事先征得甲方书面同意。</w:t>
      </w:r>
    </w:p>
    <w:p w14:paraId="68BD248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根据工程要求配备试验人员。中心试验室由甲方负责建设，并申报合格资质，负责本合同段的需要中心试验室负责的试验、检测工作；乙方自行购置现场试验检测器具并完成本段内现场试验检测工作；乙方的外委试验费用由乙方自行承担；乙方需负责本合同工程业主发试验表格费用，发生金额由甲方代扣。</w:t>
      </w:r>
    </w:p>
    <w:p w14:paraId="422A4D01">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乙方主要管理人员（项目负责人、技术负责人）必须坚守工地，严格请销假制度，未经甲方同意，乙方主要人员擅离工作岗位，处以</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元/人</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19B3532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服从甲方管理，参加甲方组织的各种工程施工会议和甲方开展的工程管理活动，否则，甲方有权</w:t>
      </w:r>
      <w:r>
        <w:rPr>
          <w:rFonts w:hint="eastAsia" w:ascii="仿宋" w:hAnsi="仿宋" w:eastAsia="仿宋" w:cs="Times New Roman"/>
          <w:color w:val="auto"/>
          <w:sz w:val="24"/>
          <w:lang w:val="en-US" w:eastAsia="zh-CN"/>
        </w:rPr>
        <w:t>要求</w:t>
      </w: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支付违约金</w:t>
      </w:r>
      <w:r>
        <w:rPr>
          <w:rFonts w:hint="eastAsia" w:ascii="仿宋" w:hAnsi="仿宋" w:eastAsia="仿宋" w:cs="Times New Roman"/>
          <w:color w:val="auto"/>
          <w:sz w:val="24"/>
        </w:rPr>
        <w:t>。</w:t>
      </w:r>
    </w:p>
    <w:p w14:paraId="10C6C89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在施工中及时按甲方要求调整生产要素，并在规定时间内上报各种文件、资料和报表。</w:t>
      </w:r>
    </w:p>
    <w:p w14:paraId="37B4F9E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4.2.2严格按图纸和技术规范施工，确保质量、进度符合要求。</w:t>
      </w:r>
    </w:p>
    <w:p w14:paraId="79BDC2D8">
      <w:pPr>
        <w:adjustRightInd w:val="0"/>
        <w:snapToGrid w:val="0"/>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4.2.3接受监理工程师和有关质量监督部门对工程质量的监督检查；负责做好迎接各项检查的现场准备工作，其费用已包含在清单单价中。检查中如被批评、处罚，责任和费用全部由乙方承担。</w:t>
      </w:r>
    </w:p>
    <w:p w14:paraId="716AAD4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4.2.4施工过程中做好原始资料的记录和数据整理，及时移交给甲方，配合甲方做好竣工资料。</w:t>
      </w:r>
    </w:p>
    <w:p w14:paraId="775506F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乙方应积极配合甲方进行结算，及时提供相应资料，因“乙方原因造成计量不能按时批复”或者“建设单位资金不足”，工程款支付不到位，乙方必须自行解决资金问题，确保工期目标的实现，并承担全部责任。</w:t>
      </w:r>
    </w:p>
    <w:p w14:paraId="347B20B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4.2.5对于甲供材，乙方领料用料必须办理相应的领料用料手续，领取、装卸、运输、仓储等全部费用，由乙方自行承担。如报价中含材料价，领用的材料款从工程款中扣回。每月结算时，配合甲方进行甲供料的核算，并按合同条款的约定承担全部费用。所有材料损耗率必须控制在允许的范围内，否则将在当期工程计量中扣除。</w:t>
      </w:r>
    </w:p>
    <w:p w14:paraId="131AB01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4.2.6自购的材料必须符合甲方要求，并按甲方要求办理相关手续。施工图纸、技术规范有技术标准要求的自购材料，乙方必须通知甲方验收合格方可使用。</w:t>
      </w:r>
    </w:p>
    <w:p w14:paraId="39BEA56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4.2.7负责本合同附表1《分包专项工程工程量清单》规定的施工用水、用电及驻地和施工必要的临时工程建设。合同工程完工后，乙方应立即进行现场清理、清除不用的设备、多余材料、建筑垃圾以及各种临时设施，保持现场的整洁、美观，费用已包含在清单综合单价中。如乙方未按要求进行清理恢复或虽进行了清理恢复但未达到地方规定或合同约定的标准，甲方有权自行或委托第三方对其进行清理恢复，所发生的费用将从应付给乙方的任何款项内扣除，并有权对乙方实施经济处罚。在施工过程中如乙方员工发生交通事故及其他治安原因所造成乙方员工或第三方人员伤亡事故，由乙方负责承担一切后果及所有费用。</w:t>
      </w:r>
    </w:p>
    <w:p w14:paraId="3A90FD0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4.2.8安全生产管理责任按本合同第10条和《安全生产协议》《安全生产责任书》执行。</w:t>
      </w:r>
    </w:p>
    <w:p w14:paraId="18C689EC">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4.2.9负责本段的控制点以外的测量工作及试验辅助工作，提供相关现场内业资料，并接受甲方的监督、检查、指导。</w:t>
      </w:r>
    </w:p>
    <w:p w14:paraId="21815CB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4.2.10负责协调本施工段的地方关系。地方治安协调费及农民工调配管理费等由乙方承担。</w:t>
      </w:r>
    </w:p>
    <w:p w14:paraId="1957795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4.2.11乙方须按国家有关规定和劳动合同的约定，每月按时向其所管理的员工发放工资，并将发放记录报甲方施工项目部备案。详见本合同第11条劳动关系管理条款。</w:t>
      </w:r>
    </w:p>
    <w:p w14:paraId="3899810F">
      <w:pPr>
        <w:adjustRightInd w:val="0"/>
        <w:snapToGrid w:val="0"/>
        <w:spacing w:line="360" w:lineRule="auto"/>
        <w:ind w:left="120" w:leftChars="57"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4.2.12应满足甲方安全管理体系的要求。其费用已包含在清单单价中，如乙方不能按照甲方的要求实施，甲方将扣除该部分费用，其费用占合同总价的1%。</w:t>
      </w:r>
    </w:p>
    <w:p w14:paraId="6D05F263">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4.2.13乙方必须自费为其在本工程雇用的员工办理意外险、工伤保险及社会劳动保险等。详见本合同第12条保险条款。</w:t>
      </w:r>
    </w:p>
    <w:p w14:paraId="6D8C213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4.2.14乙方在施工过程中，必须做好有效的环境保护措施， 详见本合同第13.5条文明施工条款。</w:t>
      </w:r>
    </w:p>
    <w:p w14:paraId="50943902">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4.2.15乙方应自行组织工程施工，不得将工程</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或分包，否则甲方有权终止合同，乙方承担违约责任。</w:t>
      </w:r>
    </w:p>
    <w:p w14:paraId="5B82FDD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乙方负责本合同承包范围内工程的实施、完成及缺陷修复等工作并承担相应费用，接受甲方的领导、整体协调以及施工中的监督、指令、检查。</w:t>
      </w:r>
    </w:p>
    <w:p w14:paraId="380CFDDD">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缺陷责任期及缺陷责任期的工程维护依据业主规定，质量保修金依据业主规定；乙方需负责施工资料及竣工资料的收集整理，并及时上报甲方；责任期内，工程需要维修时，乙方应负责维修施工用的照明、看守围栏和警示等防护设施，并对所造成的环境污染或道路损毁等全部费用负责。</w:t>
      </w:r>
    </w:p>
    <w:p w14:paraId="74ED865C">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乙方应</w:t>
      </w:r>
      <w:r>
        <w:rPr>
          <w:rFonts w:hint="eastAsia" w:ascii="仿宋" w:hAnsi="仿宋" w:eastAsia="仿宋" w:cs="Times New Roman"/>
          <w:color w:val="auto"/>
          <w:sz w:val="24"/>
          <w:lang w:val="en-US" w:eastAsia="zh-CN"/>
        </w:rPr>
        <w:t>严格</w:t>
      </w:r>
      <w:r>
        <w:rPr>
          <w:rFonts w:hint="eastAsia" w:ascii="仿宋" w:hAnsi="仿宋" w:eastAsia="仿宋" w:cs="Times New Roman"/>
          <w:color w:val="auto"/>
          <w:sz w:val="24"/>
        </w:rPr>
        <w:t>地按合同文件规定承担本合同工程的实施、完成、维护及缺陷的修复；甲方不承担任何停工及窝工损失费；由于建设单位原因造成的停工或窝工，乙方配合甲方向建设单位争取费用补偿。</w:t>
      </w:r>
    </w:p>
    <w:p w14:paraId="4965FAA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4.2.16乙方委派专人（有乙方的授权委托书）与甲方办理各种涉及合同、经济、财务等方面的手续。</w:t>
      </w:r>
    </w:p>
    <w:p w14:paraId="5DB41EDF">
      <w:pPr>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4.2.17乙方可以直接雇用农民工，但必须依法签订用工合同，并将“工人用工合同”及“工人花名册”报甲方备案。乙方按照法律、法规和劳务用工合同按时支付劳务工资，落实各项劳动保护措施。承担拖欠农民工工资所引发的全部法律及经济责任。</w:t>
      </w:r>
    </w:p>
    <w:p w14:paraId="4F5C3A17">
      <w:pPr>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4.2.18乙方接受甲方按相关规定向乙方开出的违约金，甲方可直接从“认为合适”的任何一个“期中支付月份”中“应付工程款中”直接扣除。甲方向乙方开出的任何违约金将导致乙方最终的应得结算价款相应地减少。</w:t>
      </w:r>
    </w:p>
    <w:p w14:paraId="0149D12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4.2.19乙方在施工中与第三方产生的债权债务及纠纷等问题由乙方自行负责处理，并承担全部责任和费用。</w:t>
      </w:r>
    </w:p>
    <w:p w14:paraId="0F841644">
      <w:pPr>
        <w:spacing w:line="400" w:lineRule="exact"/>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4.2.20遵守法律法规和甲方公司制度要求。</w:t>
      </w:r>
    </w:p>
    <w:p w14:paraId="6B5E0504">
      <w:pPr>
        <w:spacing w:before="156" w:beforeLines="50" w:line="400" w:lineRule="exact"/>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5 合同工期和要求</w:t>
      </w:r>
    </w:p>
    <w:p w14:paraId="57784075">
      <w:pPr>
        <w:spacing w:before="156" w:beforeLines="50" w:line="360" w:lineRule="auto"/>
        <w:ind w:firstLine="480" w:firstLineChars="200"/>
        <w:rPr>
          <w:rFonts w:hint="eastAsia" w:ascii="仿宋" w:hAnsi="仿宋" w:eastAsia="仿宋" w:cs="Times New Roman"/>
          <w:b/>
          <w:color w:val="auto"/>
          <w:sz w:val="24"/>
        </w:rPr>
      </w:pPr>
      <w:r>
        <w:rPr>
          <w:rFonts w:hint="eastAsia" w:ascii="仿宋" w:hAnsi="仿宋" w:eastAsia="仿宋" w:cs="Times New Roman"/>
          <w:color w:val="auto"/>
          <w:sz w:val="24"/>
        </w:rPr>
        <w:t>5.1根据甲方的总体施工计划要求，乙方完成分包专项工程的合同工期预计为</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个月，开工日期以甲方通知乙方进场日期为准,完工日期以乙方完成甲方指定的工作为止。</w:t>
      </w:r>
    </w:p>
    <w:p w14:paraId="62A7F81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5.2甲方有权随时了解乙方的工程进展，乙方应在甲方管理人员指导下，按甲方施工进度计划，提前做好各项准备工作，不得延误下一道工序施工，保质保量完成本工程项目。</w:t>
      </w:r>
    </w:p>
    <w:p w14:paraId="59B62506">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5.3施工过程中乙方应根据甲方指派的施工任务及甲方的进度计划合理安排人员、机械设备、周转材等的进场，避免因拖延工期带来的成本增加。</w:t>
      </w:r>
      <w:r>
        <w:rPr>
          <w:rFonts w:hint="eastAsia" w:ascii="仿宋" w:hAnsi="仿宋" w:eastAsia="仿宋" w:cs="Times New Roman"/>
          <w:color w:val="auto"/>
          <w:sz w:val="24"/>
          <w:lang w:val="en-US" w:eastAsia="zh-CN"/>
        </w:rPr>
        <w:t>因乙方的原因导致</w:t>
      </w:r>
      <w:r>
        <w:rPr>
          <w:rFonts w:hint="eastAsia" w:ascii="仿宋" w:hAnsi="仿宋" w:eastAsia="仿宋" w:cs="Times New Roman"/>
          <w:color w:val="auto"/>
          <w:sz w:val="24"/>
        </w:rPr>
        <w:t>工期</w:t>
      </w:r>
      <w:r>
        <w:rPr>
          <w:rFonts w:hint="eastAsia" w:ascii="仿宋" w:hAnsi="仿宋" w:eastAsia="仿宋" w:cs="Times New Roman"/>
          <w:color w:val="auto"/>
          <w:sz w:val="24"/>
          <w:lang w:val="en-US" w:eastAsia="zh-CN"/>
        </w:rPr>
        <w:t>延误造成成本增加或其他损失由乙方承担，甲方不承担相关责任</w:t>
      </w:r>
      <w:r>
        <w:rPr>
          <w:rFonts w:hint="eastAsia" w:ascii="仿宋" w:hAnsi="仿宋" w:eastAsia="仿宋" w:cs="Times New Roman"/>
          <w:color w:val="auto"/>
          <w:sz w:val="24"/>
        </w:rPr>
        <w:t>。</w:t>
      </w:r>
    </w:p>
    <w:p w14:paraId="2F5B269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5.4如因乙方原因未能按时开工或延误工期，由此引起的损失由乙方承担，必要时，甲方有权单方面终止合同。因发包人原因或不可抗力造成的工期延误，可按照发包人同意的相应工期予以顺延。</w:t>
      </w:r>
    </w:p>
    <w:p w14:paraId="36C47D4B">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5.5 缺陷责任期为业主签发交工验收证书之日起计2年。在缺陷责任期内的缺陷维修，如属于乙方责任的，乙方在接到甲方通知3天内派人在指定时间内自费更换或修补，否则，甲方将另行组织队伍进行更换或修补，所发生的费用将在乙方的保留金或未收款项中扣除，同时不</w:t>
      </w:r>
      <w:r>
        <w:rPr>
          <w:rFonts w:hint="eastAsia" w:ascii="仿宋" w:hAnsi="仿宋" w:eastAsia="仿宋" w:cs="Times New Roman"/>
          <w:color w:val="auto"/>
          <w:sz w:val="24"/>
          <w:lang w:val="en-US" w:eastAsia="zh-CN"/>
        </w:rPr>
        <w:t>免</w:t>
      </w:r>
      <w:r>
        <w:rPr>
          <w:rFonts w:hint="eastAsia" w:ascii="仿宋" w:hAnsi="仿宋" w:eastAsia="仿宋" w:cs="Times New Roman"/>
          <w:color w:val="auto"/>
          <w:sz w:val="24"/>
        </w:rPr>
        <w:t>除乙方对完工项目质量应负的全部责任和义务。</w:t>
      </w:r>
    </w:p>
    <w:p w14:paraId="3A74D20E">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6工程质量及质量保修</w:t>
      </w:r>
    </w:p>
    <w:p w14:paraId="25931E3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6.1乙方在分项工程开工之前，甲方须向乙方提交包括但不限于施工方案、图纸、测量数据、技术交底等相关技术文件，乙方按技术文件要求投入相应的人员、材料、设备等资源，按要求组织施工。该技术文件作为甲方对乙方过程管理及考核的依据。</w:t>
      </w:r>
    </w:p>
    <w:p w14:paraId="35E0515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6.2乙方对所承担施工项目的具体实施负责，严格按甲方的施工组织设计、施工图纸和有关技术规范以及甲方依据合同发出的指令要求进行施工。乙方每道工序完成后必须进行自检，待自检完毕通知甲方技术人员、质检工程师检查。隐蔽工程须按规定时间提前通知甲方质检工程师和相关人员，待验收合格现场签认后，方准进入下一道工序的施工。</w:t>
      </w:r>
    </w:p>
    <w:p w14:paraId="70ACC7C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6.3乙方应接受甲方派出人员的检查，并为检查提供便利条件。乙方承担因自身原因导致返工、修改的费用，对于工程施工过程中未能达到质量要求的工序，甲方有权让乙方返工直到满足技术规范要求，返工人工费及材料机械费及重复检测费用由乙方负责。</w:t>
      </w:r>
    </w:p>
    <w:p w14:paraId="7820929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6.4乙方通过隐瞒、疏通等手段经甲方验收合格的工程，后经上级或权威部门检查验收判定为不合格的，仍视为不合格工程，乙方须无条件进行返工，直至合格为止，发生的费用由乙方负责，并赔偿甲方因此造成的损失。</w:t>
      </w:r>
    </w:p>
    <w:p w14:paraId="1606459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6.5乙方承建的工程质量要求各单位、分部、分项工程合格率为100%，且重要分部分项工程评分达到或超过90分。乙方承建的工程若出现缺陷修复，缺陷责任由乙方承担。</w:t>
      </w:r>
    </w:p>
    <w:p w14:paraId="743318E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6.6乙方的各项试验和检测内容应到甲方的试验室或甲方认可的有资质的试验检测机构完成，其费用由</w:t>
      </w:r>
      <w:r>
        <w:rPr>
          <w:rFonts w:hint="eastAsia" w:ascii="仿宋" w:hAnsi="仿宋" w:eastAsia="仿宋" w:cs="Times New Roman"/>
          <w:color w:val="auto"/>
          <w:sz w:val="24"/>
          <w:u w:val="single"/>
          <w:lang w:val="en-US" w:eastAsia="zh-CN"/>
        </w:rPr>
        <w:t>乙</w:t>
      </w:r>
      <w:r>
        <w:rPr>
          <w:rFonts w:hint="eastAsia" w:ascii="仿宋" w:hAnsi="仿宋" w:eastAsia="仿宋" w:cs="Times New Roman"/>
          <w:color w:val="auto"/>
          <w:sz w:val="24"/>
        </w:rPr>
        <w:t>方承担。试验检测的频率、方法、操作规程等，应严格按照相关的技术标准执行。</w:t>
      </w:r>
    </w:p>
    <w:p w14:paraId="164A154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6.7甲方按照现行的验收办法、评定标准、施工技术规范及施工图等报请发包人组织验收。分包专项工程涉及的竣工资料</w:t>
      </w:r>
      <w:r>
        <w:rPr>
          <w:rFonts w:hint="eastAsia" w:ascii="仿宋" w:hAnsi="仿宋" w:eastAsia="仿宋" w:cs="Times New Roman"/>
          <w:color w:val="auto"/>
          <w:sz w:val="24"/>
          <w:u w:val="single"/>
          <w:lang w:val="en-US" w:eastAsia="zh-CN"/>
        </w:rPr>
        <w:t>b</w:t>
      </w:r>
      <w:r>
        <w:rPr>
          <w:rFonts w:hint="eastAsia" w:ascii="仿宋" w:hAnsi="仿宋" w:eastAsia="仿宋" w:cs="Times New Roman"/>
          <w:color w:val="auto"/>
          <w:sz w:val="24"/>
        </w:rPr>
        <w:t>（a.由甲方统一编制，乙方承担竣工资料编制费用；b.由乙方编制，乙方承担竣工资料编制费用）。</w:t>
      </w:r>
    </w:p>
    <w:p w14:paraId="380F7F7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6.8乙方分包专项工程的质量保修期等同于发包人要求甲方的保修期，保修期间发生在乙方工作范围内的保修费用由乙方承担。</w:t>
      </w:r>
    </w:p>
    <w:p w14:paraId="6B2041BD">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7 工程变更</w:t>
      </w:r>
    </w:p>
    <w:p w14:paraId="6EDD05C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7.1甲方提出设计变更或其它施工方案，乙方应积极配合，并按甲方的要求施工。工程变更的综合单价按照本合同第3.1.4条或3.1.5条执行。变更数量以经甲乙双方确认的实际施工数量为准。</w:t>
      </w:r>
    </w:p>
    <w:p w14:paraId="06F4596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 xml:space="preserve">7.2乙方不得擅自改变原设计，否则甲方对乙方完成的该项变更工程不予认可、不予计量支付，并有权要求乙方按照原设计返工，由此造成的损失由乙方承担。 </w:t>
      </w:r>
    </w:p>
    <w:p w14:paraId="1DBA3551">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8 工程款项的结算与支付</w:t>
      </w:r>
    </w:p>
    <w:p w14:paraId="237E213C">
      <w:pPr>
        <w:spacing w:line="360" w:lineRule="auto"/>
        <w:ind w:firstLine="480" w:firstLineChars="200"/>
        <w:jc w:val="left"/>
        <w:rPr>
          <w:rFonts w:hint="eastAsia" w:ascii="仿宋" w:hAnsi="仿宋" w:eastAsia="仿宋" w:cs="Times New Roman"/>
          <w:color w:val="auto"/>
          <w:sz w:val="24"/>
        </w:rPr>
      </w:pPr>
      <w:r>
        <w:rPr>
          <w:rFonts w:hint="eastAsia" w:ascii="仿宋" w:hAnsi="仿宋" w:eastAsia="仿宋" w:cs="Times New Roman"/>
          <w:color w:val="auto"/>
          <w:sz w:val="24"/>
        </w:rPr>
        <w:t>8.1计量支付和结算原则</w:t>
      </w:r>
    </w:p>
    <w:p w14:paraId="4585ADA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8.1.1</w:t>
      </w:r>
      <w:r>
        <w:rPr>
          <w:rFonts w:hint="eastAsia" w:ascii="仿宋" w:hAnsi="仿宋" w:eastAsia="仿宋" w:cs="Times New Roman"/>
          <w:b/>
          <w:color w:val="auto"/>
          <w:sz w:val="24"/>
        </w:rPr>
        <w:t>甲方按月或双方根据业主计量情况协商结算周期进行计量</w:t>
      </w:r>
      <w:r>
        <w:rPr>
          <w:rFonts w:hint="eastAsia" w:ascii="仿宋" w:hAnsi="仿宋" w:eastAsia="仿宋" w:cs="Times New Roman"/>
          <w:color w:val="auto"/>
          <w:sz w:val="24"/>
        </w:rPr>
        <w:t>，完成工程数量书面确认，验收合格后2个月内完成合同结算，结算数量按业主批复内乙方实际完成的数量进行确认。</w:t>
      </w:r>
    </w:p>
    <w:p w14:paraId="0BA591C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8.1.2甲方只对甲乙双方确认的乙方实际完成的经甲方验收合格的工作量进行计量支付，甲方无义务向乙方垫付或预付双方已确认结算工程量之外的工程款。</w:t>
      </w:r>
    </w:p>
    <w:p w14:paraId="0989C24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8.1.3甲方对乙方未达到本合同要求的质量标准的作业量不予计量，乙方应对未达到质量要求的作业项目进行返工，直到质量达到要求后方予以计量，返工费用由乙方承担。</w:t>
      </w:r>
    </w:p>
    <w:p w14:paraId="42ABBDC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8.1.4本合同涉及的所有期中计量支付、完工结算支付均由甲方支付到乙方在本合同约定的银行账户，无特殊情况下，甲方不接受乙方提供的任何第三方银行账户或委托支付。</w:t>
      </w:r>
    </w:p>
    <w:p w14:paraId="4110BA50">
      <w:pPr>
        <w:spacing w:line="400" w:lineRule="exact"/>
        <w:ind w:firstLine="480" w:firstLineChars="200"/>
        <w:rPr>
          <w:rFonts w:ascii="仿宋" w:hAnsi="仿宋" w:eastAsia="仿宋" w:cs="Times New Roman"/>
          <w:color w:val="auto"/>
          <w:sz w:val="24"/>
        </w:rPr>
      </w:pPr>
      <w:r>
        <w:rPr>
          <w:rFonts w:hint="eastAsia" w:ascii="仿宋" w:hAnsi="仿宋" w:eastAsia="仿宋" w:cs="Times New Roman"/>
          <w:color w:val="auto"/>
          <w:sz w:val="24"/>
        </w:rPr>
        <w:t>8.1.5支付方式</w:t>
      </w:r>
    </w:p>
    <w:p w14:paraId="53385216">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乙方同意甲方根据管理需要选择银行转账、支票或供应链金融等方式支付计量款项。</w:t>
      </w:r>
    </w:p>
    <w:p w14:paraId="15E57DD8">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本合同价的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7E849EDE">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8.２中期支付</w:t>
      </w:r>
    </w:p>
    <w:p w14:paraId="4161E9B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8.2.1合同内工程：甲方每月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日前对乙方自上月</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日至本月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日完成的合格工程量进行中间计量，扣除保留金及其他应扣款后，在业主支付对应工程款后，由甲方根据自身资金情况决定支付比例和进度。</w:t>
      </w:r>
    </w:p>
    <w:p w14:paraId="0A9F7BD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变更工程：在甲方收到业主单位支付该项变更工程款后，由甲方根据业主支付的比例确定向乙方支付的比例和进度，甲方无义务向乙方垫付或预付变更工程款，乙方不得以任何理由提出追偿。</w:t>
      </w:r>
    </w:p>
    <w:p w14:paraId="3BA54EF5">
      <w:pPr>
        <w:spacing w:line="400" w:lineRule="exact"/>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8.2.2扣留保留金的比例为甲方确认计量总金额的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%，安全保证金为</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%，暂扣款为</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w:t>
      </w:r>
    </w:p>
    <w:p w14:paraId="7163EEF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8.2.3农民工工资支付保证金</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%比例在计量支付时提取，在乙方劳务作业全部完成并出具无拖欠农民工工资承诺后退还。</w:t>
      </w:r>
    </w:p>
    <w:p w14:paraId="1A01729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 完工结算和支付</w:t>
      </w:r>
    </w:p>
    <w:p w14:paraId="2836AA26">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8.3.1 乙方负责的工程量完工</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个月内，甲乙双方按本合同约定的单价和甲乙双方确认的实际完成的工程数量进行完工结算，并签订结算协议。项目合同审计完成前，累计付款不应超过结算金额的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w:t>
      </w:r>
    </w:p>
    <w:p w14:paraId="7C24CB08">
      <w:pPr>
        <w:adjustRightInd w:val="0"/>
        <w:snapToGrid w:val="0"/>
        <w:spacing w:line="360" w:lineRule="auto"/>
        <w:ind w:firstLine="480" w:firstLineChars="200"/>
        <w:rPr>
          <w:rFonts w:hint="eastAsia" w:ascii="仿宋" w:hAnsi="仿宋" w:eastAsia="仿宋" w:cs="Times New Roman"/>
          <w:color w:val="auto"/>
          <w:sz w:val="24"/>
          <w:highlight w:val="none"/>
        </w:rPr>
      </w:pPr>
      <w:r>
        <w:rPr>
          <w:rFonts w:hint="eastAsia" w:ascii="仿宋" w:hAnsi="仿宋" w:eastAsia="仿宋" w:cs="Times New Roman"/>
          <w:color w:val="auto"/>
          <w:sz w:val="24"/>
        </w:rPr>
        <w:t>8</w:t>
      </w:r>
      <w:r>
        <w:rPr>
          <w:rFonts w:hint="eastAsia" w:ascii="仿宋" w:hAnsi="仿宋" w:eastAsia="仿宋" w:cs="Times New Roman"/>
          <w:color w:val="auto"/>
          <w:sz w:val="24"/>
          <w:highlight w:val="none"/>
        </w:rPr>
        <w:t>.3.2 在甲方收到业主相应工程款的前提下，在双方签订的结算协议经合同</w:t>
      </w:r>
      <w:r>
        <w:rPr>
          <w:rFonts w:hint="eastAsia" w:ascii="仿宋" w:hAnsi="仿宋" w:eastAsia="仿宋" w:cs="Times New Roman"/>
          <w:color w:val="auto"/>
          <w:sz w:val="24"/>
          <w:highlight w:val="none"/>
          <w:u w:val="none"/>
          <w:lang w:val="en-US" w:eastAsia="zh-CN"/>
        </w:rPr>
        <w:t>审核</w:t>
      </w:r>
      <w:r>
        <w:rPr>
          <w:rFonts w:hint="eastAsia" w:ascii="仿宋" w:hAnsi="仿宋" w:eastAsia="仿宋" w:cs="Times New Roman"/>
          <w:color w:val="auto"/>
          <w:sz w:val="24"/>
          <w:highlight w:val="none"/>
        </w:rPr>
        <w:t>通过之日起的</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天内，甲方向乙方支付除保留金和其他应扣款以外的剩余应付款项。</w:t>
      </w:r>
    </w:p>
    <w:p w14:paraId="50B96753">
      <w:pPr>
        <w:adjustRightInd w:val="0"/>
        <w:snapToGrid w:val="0"/>
        <w:spacing w:line="360" w:lineRule="auto"/>
        <w:ind w:firstLine="480" w:firstLineChars="20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8.3.3保留金、安全保证金、暂扣款的退还：保留金在竣工验收合格，</w:t>
      </w:r>
      <w:r>
        <w:rPr>
          <w:rFonts w:hint="eastAsia" w:ascii="仿宋" w:hAnsi="仿宋" w:eastAsia="仿宋" w:cs="Times New Roman"/>
          <w:color w:val="auto"/>
          <w:sz w:val="24"/>
          <w:highlight w:val="none"/>
          <w:lang w:val="en-US" w:eastAsia="zh-CN"/>
        </w:rPr>
        <w:t>并</w:t>
      </w:r>
      <w:r>
        <w:rPr>
          <w:rFonts w:hint="eastAsia" w:ascii="仿宋" w:hAnsi="仿宋" w:eastAsia="仿宋" w:cs="Times New Roman"/>
          <w:color w:val="auto"/>
          <w:sz w:val="24"/>
          <w:highlight w:val="none"/>
        </w:rPr>
        <w:t>在业主返还质量保证金后1个月内付清；若有部分项目因</w:t>
      </w:r>
      <w:r>
        <w:rPr>
          <w:rFonts w:hint="eastAsia" w:ascii="仿宋" w:hAnsi="仿宋" w:eastAsia="仿宋" w:cs="Times New Roman"/>
          <w:color w:val="auto"/>
          <w:sz w:val="24"/>
          <w:highlight w:val="none"/>
          <w:lang w:val="en-US" w:eastAsia="zh-CN"/>
        </w:rPr>
        <w:t>结算审核</w:t>
      </w:r>
      <w:r>
        <w:rPr>
          <w:rFonts w:hint="eastAsia" w:ascii="仿宋" w:hAnsi="仿宋" w:eastAsia="仿宋" w:cs="Times New Roman"/>
          <w:color w:val="auto"/>
          <w:sz w:val="24"/>
          <w:highlight w:val="none"/>
        </w:rPr>
        <w:t>造成扣款的或出现缺陷责任需对工程进行修复所发生的费用，甲方将在乙方的保留金中扣除，如保留金不足以扣除相应的款项，甲方可对乙方进行费用追索。若施工过程中没有发生安全事故的，安全保证金在竣工验收合格后退还。暂扣款在项目结算完成后半年内支付。保留金、安全保证金、暂扣款的返还不计任何利息。</w:t>
      </w:r>
    </w:p>
    <w:p w14:paraId="74BA33F3">
      <w:pPr>
        <w:adjustRightInd w:val="0"/>
        <w:snapToGrid w:val="0"/>
        <w:spacing w:line="360" w:lineRule="auto"/>
        <w:ind w:firstLine="480" w:firstLineChars="20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8.3.4最后结算支付以甲方</w:t>
      </w:r>
      <w:r>
        <w:rPr>
          <w:rFonts w:hint="eastAsia" w:ascii="仿宋" w:hAnsi="仿宋" w:eastAsia="仿宋" w:cs="Times New Roman"/>
          <w:color w:val="auto"/>
          <w:sz w:val="24"/>
          <w:highlight w:val="none"/>
          <w:lang w:val="en-US" w:eastAsia="zh-CN"/>
        </w:rPr>
        <w:t>审核</w:t>
      </w:r>
      <w:r>
        <w:rPr>
          <w:rFonts w:hint="eastAsia" w:ascii="仿宋" w:hAnsi="仿宋" w:eastAsia="仿宋" w:cs="Times New Roman"/>
          <w:color w:val="auto"/>
          <w:sz w:val="24"/>
          <w:highlight w:val="none"/>
        </w:rPr>
        <w:t>为准。</w:t>
      </w:r>
    </w:p>
    <w:p w14:paraId="5ECFED1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8.3.5乙方与他人的经济、法律、劳资等纠纷申诉牵连到甲方的，如果乙方没有及时妥善解决，甲方有权从乙方保留金和暂扣款中扣除相应金额给申诉方，并</w:t>
      </w:r>
      <w:r>
        <w:rPr>
          <w:rFonts w:hint="eastAsia" w:ascii="仿宋" w:hAnsi="仿宋" w:eastAsia="仿宋" w:cs="Times New Roman"/>
          <w:color w:val="auto"/>
          <w:sz w:val="24"/>
          <w:lang w:val="en-US" w:eastAsia="zh-CN"/>
        </w:rPr>
        <w:t>有权要求</w:t>
      </w:r>
      <w:r>
        <w:rPr>
          <w:rFonts w:hint="eastAsia" w:ascii="仿宋" w:hAnsi="仿宋" w:eastAsia="仿宋" w:cs="Times New Roman"/>
          <w:color w:val="auto"/>
          <w:sz w:val="24"/>
        </w:rPr>
        <w:t>乙方</w:t>
      </w:r>
      <w:r>
        <w:rPr>
          <w:rFonts w:hint="eastAsia" w:ascii="仿宋" w:hAnsi="仿宋" w:eastAsia="仿宋" w:cs="Times New Roman"/>
          <w:color w:val="auto"/>
          <w:sz w:val="24"/>
          <w:lang w:val="en-US" w:eastAsia="zh-CN"/>
        </w:rPr>
        <w:t>支付</w:t>
      </w:r>
      <w:r>
        <w:rPr>
          <w:rFonts w:hint="eastAsia" w:ascii="仿宋" w:hAnsi="仿宋" w:eastAsia="仿宋" w:cs="Times New Roman"/>
          <w:color w:val="auto"/>
          <w:sz w:val="24"/>
        </w:rPr>
        <w:t>相同金额的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3D5BE9DF">
      <w:pPr>
        <w:widowControl w:val="0"/>
        <w:spacing w:after="120" w:line="360" w:lineRule="auto"/>
        <w:ind w:firstLine="480" w:firstLineChars="200"/>
        <w:jc w:val="both"/>
        <w:rPr>
          <w:rFonts w:hint="eastAsia" w:ascii="Times New Roman" w:hAnsi="Times New Roman" w:eastAsia="仿宋" w:cs="Times New Roman"/>
          <w:color w:val="auto"/>
          <w:kern w:val="2"/>
          <w:sz w:val="21"/>
          <w:szCs w:val="24"/>
          <w:lang w:val="en-US" w:eastAsia="zh-CN" w:bidi="ar-SA"/>
        </w:rPr>
      </w:pPr>
      <w:r>
        <w:rPr>
          <w:rFonts w:hint="eastAsia" w:ascii="仿宋" w:hAnsi="仿宋" w:eastAsia="仿宋" w:cs="Times New Roman"/>
          <w:color w:val="auto"/>
          <w:kern w:val="2"/>
          <w:sz w:val="24"/>
          <w:szCs w:val="24"/>
          <w:lang w:val="en-US" w:eastAsia="zh-CN" w:bidi="ar-SA"/>
        </w:rPr>
        <w:t>8.3.6 乙方因本合同产生的包括但不限于给甲方造成的损失、违约金、处罚款等款项，甲方有权在应付款项中优先扣减，仍不能弥补甲方损失的，甲方有权向乙方继续进行追偿。</w:t>
      </w:r>
    </w:p>
    <w:p w14:paraId="01C0102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8.4跨区域涉税事项报告表</w:t>
      </w:r>
    </w:p>
    <w:p w14:paraId="0F39A83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乙方在本合同签订后一个月内，应根据合同提供该项目的跨区域涉税事项报告表，以确保该项目能在当地税务机关申报缴纳税费。</w:t>
      </w:r>
    </w:p>
    <w:p w14:paraId="16008B9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8.5发票的提供</w:t>
      </w:r>
    </w:p>
    <w:p w14:paraId="71CEA9E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8.5.1乙方应在每期结算确认后，在甲方资金支付前，根据合同内容和结算书内容向甲方出具相应增值税发票。以上条件不满足时，乙方不得向甲方申请支付款项，甲方有权停止支付且由乙方自身承担资金风险。</w:t>
      </w:r>
    </w:p>
    <w:p w14:paraId="2692BB03">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8.5.2乙方出具发票需同时满足以下原则：</w:t>
      </w:r>
    </w:p>
    <w:p w14:paraId="1232F712">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8.5.2.1发票金额</w:t>
      </w:r>
    </w:p>
    <w:p w14:paraId="076900AD">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乙方向甲方开具发票的金额需严格依据“累计确认结算量与资金支付量孰高原则”。</w:t>
      </w:r>
    </w:p>
    <w:p w14:paraId="7F397E3D">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8.5.2.2票面信息</w:t>
      </w:r>
    </w:p>
    <w:p w14:paraId="6BA9B72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17F13FF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8.6发票提供的责任</w:t>
      </w:r>
    </w:p>
    <w:p w14:paraId="381A501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导致甲方</w:t>
      </w:r>
      <w:r>
        <w:rPr>
          <w:rFonts w:hint="eastAsia" w:ascii="仿宋" w:hAnsi="仿宋" w:eastAsia="仿宋" w:cs="Times New Roman"/>
          <w:color w:val="auto"/>
          <w:sz w:val="24"/>
          <w:lang w:val="en-US" w:eastAsia="zh-CN"/>
        </w:rPr>
        <w:t>利益受损</w:t>
      </w:r>
      <w:r>
        <w:rPr>
          <w:rFonts w:hint="eastAsia" w:ascii="仿宋" w:hAnsi="仿宋" w:eastAsia="仿宋" w:cs="Times New Roman"/>
          <w:color w:val="auto"/>
          <w:sz w:val="24"/>
        </w:rPr>
        <w:t>的，全部损失由乙方承担。</w:t>
      </w:r>
    </w:p>
    <w:p w14:paraId="12EEA9A0">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auto"/>
          <w:sz w:val="24"/>
          <w:lang w:val="en-US" w:eastAsia="zh-CN"/>
        </w:rPr>
        <w:t>赔偿</w:t>
      </w:r>
      <w:r>
        <w:rPr>
          <w:rFonts w:hint="eastAsia" w:ascii="仿宋" w:hAnsi="仿宋" w:eastAsia="仿宋" w:cs="Times New Roman"/>
          <w:color w:val="auto"/>
          <w:sz w:val="24"/>
        </w:rPr>
        <w:t>相应进项税额3倍的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1AC1D5A0">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9 材料物资和机械设备</w:t>
      </w:r>
    </w:p>
    <w:p w14:paraId="7E92576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9.1材料</w:t>
      </w:r>
    </w:p>
    <w:p w14:paraId="24A1525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9.1.1发包人和甲方统一采购供应的材料名称、单价及允许损耗系数等见《</w:t>
      </w:r>
      <w:r>
        <w:rPr>
          <w:rFonts w:hint="eastAsia" w:ascii="仿宋" w:hAnsi="仿宋" w:eastAsia="仿宋" w:cs="Times New Roman"/>
          <w:color w:val="auto"/>
          <w:sz w:val="24"/>
          <w:lang w:val="en-US" w:eastAsia="zh-CN"/>
        </w:rPr>
        <w:t>发包</w:t>
      </w:r>
      <w:r>
        <w:rPr>
          <w:rFonts w:hint="eastAsia" w:ascii="仿宋" w:hAnsi="仿宋" w:eastAsia="仿宋" w:cs="Times New Roman"/>
          <w:color w:val="auto"/>
          <w:sz w:val="24"/>
        </w:rPr>
        <w:t>人供应材料清单》（附表2）。乙方领用的甲供材料，若累计用量在图纸用量加允许损耗用量以内的数量按材料清单单价扣回，超出允许损耗用量的材料款在乙方当月的工程款结算时按上述材料的市场价加</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保管费予以扣回。</w:t>
      </w:r>
    </w:p>
    <w:p w14:paraId="77F0484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9.1.2除上述甲方提供的材料物资外，用于乙方施工的其他材料物资由乙方自行采购和提供，并负责其保管、检测、使用、运输等全部费用。</w:t>
      </w:r>
    </w:p>
    <w:p w14:paraId="264EBB2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9.2机械设备</w:t>
      </w:r>
    </w:p>
    <w:p w14:paraId="5D42B312">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9.2.1乙方施工所需机械设备均由乙方自行采购和提供，并符合工程施工和进度的要求。</w:t>
      </w:r>
    </w:p>
    <w:p w14:paraId="07BB4429">
      <w:pPr>
        <w:spacing w:before="156" w:beforeLines="50" w:line="360" w:lineRule="auto"/>
        <w:ind w:firstLine="482" w:firstLineChars="200"/>
        <w:jc w:val="left"/>
        <w:rPr>
          <w:rFonts w:hint="eastAsia" w:ascii="仿宋" w:hAnsi="仿宋" w:eastAsia="仿宋" w:cs="Times New Roman"/>
          <w:color w:val="auto"/>
          <w:sz w:val="24"/>
        </w:rPr>
      </w:pPr>
      <w:r>
        <w:rPr>
          <w:rFonts w:hint="eastAsia" w:ascii="仿宋" w:hAnsi="仿宋" w:eastAsia="仿宋" w:cs="Times New Roman"/>
          <w:b/>
          <w:color w:val="auto"/>
          <w:sz w:val="24"/>
        </w:rPr>
        <w:t>10 安全生产管理</w:t>
      </w:r>
    </w:p>
    <w:p w14:paraId="053B969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 乙方安全生产管理</w:t>
      </w:r>
    </w:p>
    <w:p w14:paraId="0252095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10.1.1乙方对所承担工程的生产安全负责。包括施工区域、施工便道便桥、办公生活场所中的安全设施设备、施工机电设备、建筑材料、安全标志标牌，施工辅助作业、施工作业，从业人员。</w:t>
      </w:r>
    </w:p>
    <w:p w14:paraId="5A630EE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10.1.2按有关法规和甲方要求建立完善安全生产管理规章、安全生产操作规程，落实安全生产管理责任制，配备专（兼）职安全生产管理人员。</w:t>
      </w:r>
    </w:p>
    <w:p w14:paraId="2A8814F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10.1.3工程开工前应确保安全生产条件。检查进场施工机电设备的安全性能，施工现场安全措施，对从业人员实行三级安全教育和安全技术交底。</w:t>
      </w:r>
    </w:p>
    <w:p w14:paraId="490C772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10.1.4必须按照有关规定为从业人员购买意外伤害保险。</w:t>
      </w:r>
    </w:p>
    <w:p w14:paraId="069324C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10.1.5施工过程中必须严格执行有关安全生产法律、法规、规定和行业标准、规程、规章，遵守甲方及其上级单位安全生产管理制度，服从甲方安全生产管理，接受甲方的安全指导和监督检查。</w:t>
      </w:r>
    </w:p>
    <w:p w14:paraId="3EDC6AE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10.1.6施工现场应设立并维护好安全生产警示、标志牌、构造物标示牌、安全生产宣传栏、宣传标语等。</w:t>
      </w:r>
    </w:p>
    <w:p w14:paraId="581F1B6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10.1.7特种施工机械设备必须按规定进行安检、备案，特种作业人员必须持有效证件上岗。</w:t>
      </w:r>
    </w:p>
    <w:p w14:paraId="31BD777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10.1.8施工现场临时用电应按要求进行布设线路、电箱和电气。</w:t>
      </w:r>
    </w:p>
    <w:p w14:paraId="547A756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10.1.9按规定为从业人员配发劳保用品。</w:t>
      </w:r>
    </w:p>
    <w:p w14:paraId="413168E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10.1.10 乙方与甲方签订《安全生产责任书》，明确双方安全生产管理责任。本合同中未明确事宜，严格按《安全生产责任书》执行。在施工过程中，因乙方原因造成生产安全事故，追究乙方相应责任，并由乙方承担由此引起的一切</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w:t>
      </w:r>
    </w:p>
    <w:p w14:paraId="76F7919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10.1.11</w:t>
      </w:r>
      <w:r>
        <w:rPr>
          <w:rFonts w:hint="eastAsia" w:ascii="仿宋" w:hAnsi="仿宋" w:eastAsia="仿宋" w:cs="宋体"/>
          <w:color w:val="auto"/>
          <w:sz w:val="24"/>
        </w:rPr>
        <w:t>承建工程</w:t>
      </w:r>
      <w:r>
        <w:rPr>
          <w:rFonts w:hint="eastAsia" w:ascii="仿宋" w:hAnsi="仿宋" w:eastAsia="仿宋" w:cs="Times New Roman"/>
          <w:color w:val="auto"/>
          <w:sz w:val="24"/>
        </w:rPr>
        <w:t>与地方道路等有交叉、干扰的地段，应合理安排施工组织计划，采取有效措施保证施工安全及交通畅通；与其他在建工程</w:t>
      </w:r>
      <w:r>
        <w:rPr>
          <w:rFonts w:hint="eastAsia" w:ascii="仿宋" w:hAnsi="仿宋" w:eastAsia="仿宋" w:cs="宋体"/>
          <w:color w:val="auto"/>
          <w:sz w:val="24"/>
        </w:rPr>
        <w:t>干</w:t>
      </w:r>
      <w:r>
        <w:rPr>
          <w:rFonts w:hint="eastAsia" w:ascii="仿宋" w:hAnsi="仿宋" w:eastAsia="仿宋" w:cs="Times New Roman"/>
          <w:color w:val="auto"/>
          <w:sz w:val="24"/>
        </w:rPr>
        <w:t>扰地段，应做好与其它施工单位或班组的协调工作。</w:t>
      </w:r>
    </w:p>
    <w:p w14:paraId="1261FEE1">
      <w:pPr>
        <w:adjustRightInd w:val="0"/>
        <w:snapToGrid w:val="0"/>
        <w:spacing w:line="360" w:lineRule="auto"/>
        <w:ind w:firstLine="480" w:firstLineChars="200"/>
        <w:rPr>
          <w:rFonts w:hint="eastAsia" w:ascii="仿宋" w:hAnsi="仿宋" w:eastAsia="仿宋" w:cs="宋体"/>
          <w:color w:val="auto"/>
          <w:sz w:val="24"/>
        </w:rPr>
      </w:pPr>
      <w:r>
        <w:rPr>
          <w:rFonts w:hint="eastAsia" w:ascii="仿宋" w:hAnsi="仿宋" w:eastAsia="仿宋" w:cs="Times New Roman"/>
          <w:color w:val="auto"/>
          <w:sz w:val="24"/>
        </w:rPr>
        <w:t xml:space="preserve">10.2 </w:t>
      </w:r>
      <w:r>
        <w:rPr>
          <w:rFonts w:hint="eastAsia" w:ascii="仿宋" w:hAnsi="仿宋" w:eastAsia="仿宋" w:cs="宋体"/>
          <w:color w:val="auto"/>
          <w:sz w:val="24"/>
        </w:rPr>
        <w:t>甲方</w:t>
      </w:r>
      <w:r>
        <w:rPr>
          <w:rFonts w:hint="eastAsia" w:ascii="仿宋" w:hAnsi="仿宋" w:eastAsia="仿宋" w:cs="Times New Roman"/>
          <w:color w:val="auto"/>
          <w:sz w:val="24"/>
        </w:rPr>
        <w:t>安全生产</w:t>
      </w:r>
      <w:r>
        <w:rPr>
          <w:rFonts w:hint="eastAsia" w:ascii="仿宋" w:hAnsi="仿宋" w:eastAsia="仿宋" w:cs="宋体"/>
          <w:color w:val="auto"/>
          <w:sz w:val="24"/>
        </w:rPr>
        <w:t>管理</w:t>
      </w:r>
    </w:p>
    <w:p w14:paraId="6F712881">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10.2.1甲方与乙方界定安全生产管理责任，提出明确安全生产管理要求。</w:t>
      </w:r>
    </w:p>
    <w:p w14:paraId="6D151314">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10.2.2甲方在开工前组织对乙方安全生产条件检查。组织一级、三级安全教育，进行技术交底。</w:t>
      </w:r>
    </w:p>
    <w:p w14:paraId="73D9958B">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10.2.3施工过程中对乙方安全生产工作落实情况进行巡查、督促，不定期组织安全生产宣传教育。</w:t>
      </w:r>
    </w:p>
    <w:p w14:paraId="45554CC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10.2.4发生生产安全事故或出现安全生产险情时，协助乙方处理。</w:t>
      </w:r>
    </w:p>
    <w:p w14:paraId="1434C718">
      <w:pPr>
        <w:spacing w:before="156" w:beforeLines="50" w:line="360" w:lineRule="auto"/>
        <w:ind w:firstLine="482" w:firstLineChars="200"/>
        <w:rPr>
          <w:rFonts w:hint="eastAsia" w:ascii="仿宋" w:hAnsi="仿宋" w:eastAsia="仿宋" w:cs="Times New Roman"/>
          <w:color w:val="auto"/>
          <w:sz w:val="24"/>
        </w:rPr>
      </w:pPr>
      <w:r>
        <w:rPr>
          <w:rFonts w:hint="eastAsia" w:ascii="仿宋" w:hAnsi="仿宋" w:eastAsia="仿宋" w:cs="Times New Roman"/>
          <w:b/>
          <w:color w:val="auto"/>
          <w:sz w:val="24"/>
        </w:rPr>
        <w:t>11</w:t>
      </w:r>
      <w:r>
        <w:rPr>
          <w:rFonts w:hint="eastAsia" w:ascii="仿宋" w:hAnsi="仿宋" w:eastAsia="仿宋" w:cs="Times New Roman"/>
          <w:b/>
          <w:color w:val="auto"/>
          <w:sz w:val="24"/>
          <w:lang w:val="en-US" w:eastAsia="zh-CN"/>
        </w:rPr>
        <w:t>人员</w:t>
      </w:r>
      <w:r>
        <w:rPr>
          <w:rFonts w:hint="eastAsia" w:ascii="仿宋" w:hAnsi="仿宋" w:eastAsia="仿宋" w:cs="Times New Roman"/>
          <w:b/>
          <w:color w:val="auto"/>
          <w:sz w:val="24"/>
        </w:rPr>
        <w:t>关系管理</w:t>
      </w:r>
    </w:p>
    <w:p w14:paraId="48CD896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11.1乙方招用的人员，应当依法签订劳动用工合同，进场施工前，须提交工人花名册、工人用工合同到甲方处备案；进场后，每月向甲方报送更新的工人花名册；中途进场的工人，用工当日乙方需向甲方提交工人的用工合同。乙方不得招用</w:t>
      </w:r>
      <w:r>
        <w:rPr>
          <w:rFonts w:hint="eastAsia" w:ascii="仿宋" w:hAnsi="仿宋" w:eastAsia="仿宋" w:cs="Times New Roman"/>
          <w:color w:val="auto"/>
          <w:sz w:val="24"/>
          <w:lang w:val="en-US" w:eastAsia="zh-CN"/>
        </w:rPr>
        <w:t>达到法定</w:t>
      </w:r>
      <w:r>
        <w:rPr>
          <w:rFonts w:hint="eastAsia" w:ascii="仿宋" w:hAnsi="仿宋" w:eastAsia="仿宋" w:cs="Times New Roman"/>
          <w:color w:val="auto"/>
          <w:sz w:val="24"/>
        </w:rPr>
        <w:t>退休年龄的人员。</w:t>
      </w:r>
    </w:p>
    <w:p w14:paraId="5A528C9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11.2乙方若未按上述约定进行用工管理，导致乙方工人申请工伤认定、劳动仲裁或提起诉讼而牵连甲方的，每发生一宗乙方</w:t>
      </w:r>
      <w:r>
        <w:rPr>
          <w:rFonts w:hint="eastAsia" w:ascii="仿宋" w:hAnsi="仿宋" w:eastAsia="仿宋" w:cs="Times New Roman"/>
          <w:color w:val="auto"/>
          <w:sz w:val="24"/>
          <w:lang w:val="en-US" w:eastAsia="zh-CN"/>
        </w:rPr>
        <w:t>应向甲方支付违约金</w:t>
      </w:r>
      <w:r>
        <w:rPr>
          <w:rFonts w:hint="eastAsia" w:ascii="仿宋" w:hAnsi="仿宋" w:eastAsia="仿宋" w:cs="Times New Roman"/>
          <w:color w:val="auto"/>
          <w:sz w:val="24"/>
        </w:rPr>
        <w:t>5万元，该费用将从应付给乙方的任何款项内扣除。</w:t>
      </w:r>
    </w:p>
    <w:p w14:paraId="57EE0C6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发生劳动争议仲裁或诉讼后，乙方可自行选择与工人和解或应诉；选择应诉的，甲方将按案件标的的1.3倍暂扣乙方的工程款直至案件解决。</w:t>
      </w:r>
    </w:p>
    <w:p w14:paraId="06185664">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11.3乙方招用的人员，其应得工资应通过银行卡转帐或现金发放的方式及时、足额地直接发放给员工本人。严禁发放给其他不具备用工主体资格的组织和个人。甲方付工程款时，乙方须提供上一期农民工工资的付款凭证，否则不予支付工程款。</w:t>
      </w:r>
    </w:p>
    <w:p w14:paraId="1D46A717">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11.4乙方招用的人员，在核定的人工费总额内需由甲方统一代为发放的，乙方需出具书面委托，并在每月月底报送员工考勤表及乙方签认的工资发放表到甲方。甲方以工资卡形式发放，费用在月结算计量款中抵扣。</w:t>
      </w:r>
    </w:p>
    <w:p w14:paraId="2BDA827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11.5乙方不得以任何理由和形式克扣员工工资，更不得发生员工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元，并没收保证金。</w:t>
      </w:r>
    </w:p>
    <w:p w14:paraId="47D039BF">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12保险</w:t>
      </w:r>
    </w:p>
    <w:p w14:paraId="59320AD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乙方必须自费为其在本工程雇用的</w:t>
      </w:r>
      <w:r>
        <w:rPr>
          <w:rFonts w:hint="eastAsia" w:ascii="仿宋" w:hAnsi="仿宋" w:eastAsia="仿宋" w:cs="Times New Roman"/>
          <w:color w:val="auto"/>
          <w:sz w:val="24"/>
          <w:lang w:val="en-US" w:eastAsia="zh-CN"/>
        </w:rPr>
        <w:t>人员</w:t>
      </w:r>
      <w:r>
        <w:rPr>
          <w:rFonts w:hint="eastAsia" w:ascii="仿宋" w:hAnsi="仿宋" w:eastAsia="仿宋" w:cs="Times New Roman"/>
          <w:color w:val="auto"/>
          <w:sz w:val="24"/>
        </w:rPr>
        <w:t>办理意外险、工伤保险及社会劳动保险等。乙方因未办理保险而产生的或不能从保险公司得到的赔偿金额、或赔偿金额不足以抵消损失的，由乙方负责承担，甲方及其所属管理单位将不承担任何赔偿责任。</w:t>
      </w:r>
    </w:p>
    <w:p w14:paraId="19E44FDC">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13现场管理</w:t>
      </w:r>
    </w:p>
    <w:p w14:paraId="48B632D1">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13.1甲、乙双方人员应严格遵守现场各项管理制度，在甲方现场负责人统一领导下组织施工，合理安排计划进度、材料供应等工作，双方应密切配合，保证施工顺利进行。</w:t>
      </w:r>
    </w:p>
    <w:p w14:paraId="7ED68F4F">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13.2乙方应对施工人员进行遵纪守法、爱护财物的教育，并指定专人负责现场保卫工作，严禁盗窃现场材料。如乙方人员违反现场管理制度和有不法行为，甲方有权采取必要措施，并由乙方承担相关法律责任和经济损失。</w:t>
      </w:r>
    </w:p>
    <w:p w14:paraId="4C349B80">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13.3在施工过程中，如因乙方自身原因导致</w:t>
      </w:r>
      <w:r>
        <w:rPr>
          <w:rFonts w:hint="eastAsia" w:ascii="仿宋" w:hAnsi="仿宋" w:eastAsia="仿宋" w:cs="Times New Roman"/>
          <w:color w:val="auto"/>
          <w:sz w:val="24"/>
          <w:lang w:val="en-US" w:eastAsia="zh-CN"/>
        </w:rPr>
        <w:t>甲方需要向</w:t>
      </w:r>
      <w:r>
        <w:rPr>
          <w:rFonts w:hint="eastAsia" w:ascii="仿宋" w:hAnsi="仿宋" w:eastAsia="仿宋" w:cs="Times New Roman"/>
          <w:color w:val="auto"/>
          <w:sz w:val="24"/>
        </w:rPr>
        <w:t>业主、监理或其他上级主管单位的任何形式的</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，该</w:t>
      </w:r>
      <w:r>
        <w:rPr>
          <w:rFonts w:hint="eastAsia" w:ascii="仿宋" w:hAnsi="仿宋" w:eastAsia="仿宋" w:cs="Times New Roman"/>
          <w:color w:val="auto"/>
          <w:sz w:val="24"/>
          <w:lang w:val="en-US" w:eastAsia="zh-CN"/>
        </w:rPr>
        <w:t>责任</w:t>
      </w:r>
      <w:r>
        <w:rPr>
          <w:rFonts w:hint="eastAsia" w:ascii="仿宋" w:hAnsi="仿宋" w:eastAsia="仿宋" w:cs="Times New Roman"/>
          <w:color w:val="auto"/>
          <w:sz w:val="24"/>
        </w:rPr>
        <w:t>由乙方承担，</w:t>
      </w:r>
      <w:r>
        <w:rPr>
          <w:rFonts w:hint="eastAsia" w:ascii="仿宋" w:hAnsi="仿宋" w:eastAsia="仿宋" w:cs="Times New Roman"/>
          <w:color w:val="auto"/>
          <w:sz w:val="24"/>
          <w:lang w:val="en-US" w:eastAsia="zh-CN"/>
        </w:rPr>
        <w:t>甲方</w:t>
      </w:r>
      <w:r>
        <w:rPr>
          <w:rFonts w:hint="eastAsia" w:ascii="仿宋" w:hAnsi="仿宋" w:eastAsia="仿宋" w:cs="Times New Roman"/>
          <w:color w:val="auto"/>
          <w:sz w:val="24"/>
        </w:rPr>
        <w:t>保留进一步</w:t>
      </w:r>
      <w:r>
        <w:rPr>
          <w:rFonts w:hint="eastAsia" w:ascii="仿宋" w:hAnsi="仿宋" w:eastAsia="仿宋" w:cs="Times New Roman"/>
          <w:color w:val="auto"/>
          <w:sz w:val="24"/>
          <w:lang w:val="en-US" w:eastAsia="zh-CN"/>
        </w:rPr>
        <w:t>追究乙方责任</w:t>
      </w:r>
      <w:r>
        <w:rPr>
          <w:rFonts w:hint="eastAsia" w:ascii="仿宋" w:hAnsi="仿宋" w:eastAsia="仿宋" w:cs="Times New Roman"/>
          <w:color w:val="auto"/>
          <w:sz w:val="24"/>
        </w:rPr>
        <w:t>的权利。如</w:t>
      </w:r>
      <w:r>
        <w:rPr>
          <w:rFonts w:hint="eastAsia" w:ascii="仿宋" w:hAnsi="仿宋" w:eastAsia="仿宋" w:cs="Times New Roman"/>
          <w:color w:val="auto"/>
          <w:sz w:val="24"/>
          <w:lang w:val="en-US" w:eastAsia="zh-CN"/>
        </w:rPr>
        <w:t>造成甲方经济的损失</w:t>
      </w:r>
      <w:r>
        <w:rPr>
          <w:rFonts w:hint="eastAsia" w:ascii="仿宋" w:hAnsi="仿宋" w:eastAsia="仿宋" w:cs="Times New Roman"/>
          <w:color w:val="auto"/>
          <w:sz w:val="24"/>
        </w:rPr>
        <w:t>，将在乙方当期计量或工程结算时</w:t>
      </w:r>
      <w:r>
        <w:rPr>
          <w:rFonts w:hint="eastAsia" w:ascii="仿宋" w:hAnsi="仿宋" w:eastAsia="仿宋" w:cs="Times New Roman"/>
          <w:color w:val="auto"/>
          <w:sz w:val="24"/>
          <w:lang w:val="en-US" w:eastAsia="zh-CN"/>
        </w:rPr>
        <w:t>予以抵扣</w:t>
      </w:r>
      <w:r>
        <w:rPr>
          <w:rFonts w:hint="eastAsia" w:ascii="仿宋" w:hAnsi="仿宋" w:eastAsia="仿宋" w:cs="Times New Roman"/>
          <w:color w:val="auto"/>
          <w:sz w:val="24"/>
        </w:rPr>
        <w:t>。</w:t>
      </w:r>
    </w:p>
    <w:p w14:paraId="2C0E8FB8">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13.4乙方人员要保持相对稳定，出入施工现场要配戴工作标志，不允许与施工生产无关人员出入现场和住宿，不得招用“三无”人员从事工程施工作业。</w:t>
      </w:r>
    </w:p>
    <w:p w14:paraId="0C730A8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13.5文明施工</w:t>
      </w:r>
    </w:p>
    <w:p w14:paraId="0683A95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13.5.1乙方应遵守有关文明施工的规定，注意在施工过程中保护工程所在地的环境。如防治雨水对施工现场所占有的土地、临时用地、路基土石方、取弃土场等的冲刷，造成对河流、水道、灌溉渠、排水系统产生淤积、堵塞，对农田或其他农作物造成污染、淹没；防治施工中燃料、油、焊碴、污水、废料和垃圾等有害物质对池塘、河道、农田等造成污染，防治扬尘、汽油等物质对环境空气的污染；防治噪音对环境的污染，把施工对环境、空气的影响减少到法规允许的范围内。如乙方因自身管理不到位造成的责任事故，由乙方承担责任及相关赔偿费用。因乙方的责任造成环境污染事故或其他环境责任事故，由乙方承担相关责任和经济赔偿。</w:t>
      </w:r>
    </w:p>
    <w:p w14:paraId="194D7CD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13.5.2 乙方的员工应统一佩带由甲方要求的上岗标志，甲方将定期进行检查。乙方施工场地使用、机械停放、材料和设备布置应服从甲方统一安排，机具、材料堆放整齐。</w:t>
      </w:r>
    </w:p>
    <w:p w14:paraId="4D4FE489">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13.5.3乙方应保证驻地整洁，现场文明施工，确保施工期间在工程范围内便道、原有道路的交通状况满足甲方的要求。</w:t>
      </w:r>
    </w:p>
    <w:p w14:paraId="15009F0C">
      <w:pPr>
        <w:spacing w:before="156" w:beforeLines="50" w:line="360" w:lineRule="auto"/>
        <w:ind w:firstLine="482" w:firstLineChars="200"/>
        <w:jc w:val="left"/>
        <w:rPr>
          <w:rFonts w:hint="eastAsia" w:ascii="仿宋" w:hAnsi="仿宋" w:eastAsia="仿宋" w:cs="Times New Roman"/>
          <w:color w:val="auto"/>
          <w:sz w:val="24"/>
        </w:rPr>
      </w:pPr>
      <w:r>
        <w:rPr>
          <w:rFonts w:hint="eastAsia" w:ascii="仿宋" w:hAnsi="仿宋" w:eastAsia="仿宋" w:cs="Times New Roman"/>
          <w:b/>
          <w:color w:val="auto"/>
          <w:sz w:val="24"/>
        </w:rPr>
        <w:t>14合同解除及违约责任</w:t>
      </w:r>
    </w:p>
    <w:p w14:paraId="2142A961">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14.1 经甲乙双方协商同意，可以变更或解除合同。</w:t>
      </w:r>
    </w:p>
    <w:p w14:paraId="5DEB7B7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14.2 乙方分包的工程项目，不得再行</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或分包，否则将无条件被认为乙方违约，甲方有权解除合同，且由此引起的一切责任、事故和损失由乙方负责。</w:t>
      </w:r>
    </w:p>
    <w:p w14:paraId="1031F0AA">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乙方在履行合同过程中出现下列情形之一的，甲方将视为乙方严重违约，有权单方面解除合同，另行安排队伍施工，乙方须无条件退场。同时甲方有权没收乙方的合同履约保证金（如果有），如履约保证金仍不能补偿甲方的损失，甲方有权从乙方的保留金或其他工程款中扣除作冲抵，如仍不能弥补甲方损失的，甲方有权继续向乙方追索。</w:t>
      </w:r>
    </w:p>
    <w:p w14:paraId="25E7562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14.3.1乙方未经甲方批准将本合同的任何工作内容另行</w:t>
      </w:r>
      <w:r>
        <w:rPr>
          <w:rFonts w:hint="eastAsia" w:ascii="仿宋" w:hAnsi="仿宋" w:eastAsia="仿宋" w:cs="Times New Roman"/>
          <w:color w:val="auto"/>
          <w:sz w:val="24"/>
          <w:lang w:eastAsia="zh-CN"/>
        </w:rPr>
        <w:t>发包</w:t>
      </w:r>
      <w:r>
        <w:rPr>
          <w:rFonts w:hint="eastAsia" w:ascii="仿宋" w:hAnsi="仿宋" w:eastAsia="仿宋" w:cs="Times New Roman"/>
          <w:color w:val="auto"/>
          <w:sz w:val="24"/>
        </w:rPr>
        <w:t>或分包给他人的。</w:t>
      </w:r>
    </w:p>
    <w:p w14:paraId="54A25FC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14.3.2 乙方在施工过程中，不听从甲方指挥或调配、违章作业、或出现安全问题和事故，甲方有权提出警告、责令整改，并视具体情况</w:t>
      </w:r>
      <w:r>
        <w:rPr>
          <w:rFonts w:hint="eastAsia" w:ascii="仿宋" w:hAnsi="仿宋" w:eastAsia="仿宋" w:cs="Times New Roman"/>
          <w:color w:val="auto"/>
          <w:sz w:val="24"/>
          <w:lang w:val="en-US" w:eastAsia="zh-CN"/>
        </w:rPr>
        <w:t>要求甲方支付违约金</w:t>
      </w:r>
      <w:r>
        <w:rPr>
          <w:rFonts w:hint="eastAsia" w:ascii="仿宋" w:hAnsi="仿宋" w:eastAsia="仿宋" w:cs="Times New Roman"/>
          <w:color w:val="auto"/>
          <w:sz w:val="24"/>
        </w:rPr>
        <w:t>，若乙方拒不改正的</w:t>
      </w:r>
      <w:r>
        <w:rPr>
          <w:rFonts w:hint="eastAsia" w:ascii="仿宋" w:hAnsi="仿宋" w:eastAsia="仿宋" w:cs="Times New Roman"/>
          <w:color w:val="auto"/>
          <w:sz w:val="24"/>
          <w:lang w:eastAsia="zh-CN"/>
        </w:rPr>
        <w:t>，</w:t>
      </w:r>
      <w:r>
        <w:rPr>
          <w:rFonts w:hint="eastAsia" w:ascii="仿宋" w:hAnsi="仿宋" w:eastAsia="仿宋" w:cs="Times New Roman"/>
          <w:color w:val="auto"/>
          <w:sz w:val="24"/>
          <w:lang w:val="en-US" w:eastAsia="zh-CN"/>
        </w:rPr>
        <w:t>甲方有权解除合同</w:t>
      </w:r>
      <w:r>
        <w:rPr>
          <w:rFonts w:hint="eastAsia" w:ascii="仿宋" w:hAnsi="仿宋" w:eastAsia="仿宋" w:cs="Times New Roman"/>
          <w:color w:val="auto"/>
          <w:sz w:val="24"/>
        </w:rPr>
        <w:t>。</w:t>
      </w:r>
    </w:p>
    <w:p w14:paraId="18CF2ABE">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14.3.3 因乙方原因导致甲方不能按合同或业主规定的工期交付使用，从而导致业主对甲方进行有关工期延误的</w:t>
      </w:r>
      <w:r>
        <w:rPr>
          <w:rFonts w:hint="eastAsia" w:ascii="仿宋" w:hAnsi="仿宋" w:eastAsia="仿宋" w:cs="Times New Roman"/>
          <w:color w:val="auto"/>
          <w:sz w:val="24"/>
          <w:lang w:val="en-US" w:eastAsia="zh-CN"/>
        </w:rPr>
        <w:t>索赔</w:t>
      </w:r>
      <w:r>
        <w:rPr>
          <w:rFonts w:hint="eastAsia" w:ascii="仿宋" w:hAnsi="仿宋" w:eastAsia="仿宋" w:cs="Times New Roman"/>
          <w:color w:val="auto"/>
          <w:sz w:val="24"/>
        </w:rPr>
        <w:t>，由乙方承担相应的</w:t>
      </w:r>
      <w:r>
        <w:rPr>
          <w:rFonts w:hint="eastAsia" w:ascii="仿宋" w:hAnsi="仿宋" w:eastAsia="仿宋" w:cs="Times New Roman"/>
          <w:color w:val="auto"/>
          <w:sz w:val="24"/>
          <w:lang w:val="en-US" w:eastAsia="zh-CN"/>
        </w:rPr>
        <w:t>赔偿款</w:t>
      </w:r>
      <w:r>
        <w:rPr>
          <w:rFonts w:hint="eastAsia" w:ascii="仿宋" w:hAnsi="仿宋" w:eastAsia="仿宋" w:cs="Times New Roman"/>
          <w:color w:val="auto"/>
          <w:sz w:val="24"/>
        </w:rPr>
        <w:t>，并承担因此而给甲方造成的损失。</w:t>
      </w:r>
    </w:p>
    <w:p w14:paraId="07E3DD0C">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14.3.4 未按合同约定将劳务人员、机具设备组织到位。</w:t>
      </w:r>
    </w:p>
    <w:p w14:paraId="771FE2C5">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14.3.5连续3次完成不了甲方下达的任务，导致甲方不能按时完成生产计划。</w:t>
      </w:r>
    </w:p>
    <w:p w14:paraId="1A142C9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14.3.6 施工质量经整改仍达不到合同、规范标准要求的或发生重大质量事故。</w:t>
      </w:r>
    </w:p>
    <w:p w14:paraId="5ABC412D">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14.3.7 因乙方原因给甲方造成严重信誉损毁的。</w:t>
      </w:r>
    </w:p>
    <w:p w14:paraId="48E73717">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14.3.8 出现国家法律、法规规定的其他需要解除合同的情形时。</w:t>
      </w:r>
    </w:p>
    <w:p w14:paraId="58D40FE2">
      <w:pPr>
        <w:adjustRightInd w:val="0"/>
        <w:snapToGrid w:val="0"/>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14.4如乙方单方面提出解除合同，按照合同金额的</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%向甲方支付违约金。</w:t>
      </w:r>
    </w:p>
    <w:p w14:paraId="6CB40495">
      <w:pPr>
        <w:spacing w:before="156" w:beforeLines="50" w:line="360" w:lineRule="auto"/>
        <w:ind w:firstLine="482" w:firstLineChars="200"/>
        <w:jc w:val="left"/>
        <w:rPr>
          <w:rFonts w:hint="eastAsia" w:ascii="仿宋" w:hAnsi="仿宋" w:eastAsia="仿宋" w:cs="Times New Roman"/>
          <w:b/>
          <w:color w:val="auto"/>
          <w:sz w:val="24"/>
        </w:rPr>
      </w:pPr>
      <w:r>
        <w:rPr>
          <w:rFonts w:hint="eastAsia" w:ascii="仿宋" w:hAnsi="仿宋" w:eastAsia="仿宋" w:cs="Times New Roman"/>
          <w:b/>
          <w:color w:val="auto"/>
          <w:sz w:val="24"/>
        </w:rPr>
        <w:t>15 附则</w:t>
      </w:r>
    </w:p>
    <w:p w14:paraId="0C8119A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15.1甲方不允许项目部人员擅自变更本合同以及以甲方或甲方项目部名义对外借款。甲方与乙方之间签订的任何合同、协议、补充合同、承诺书、确认单等均以甲方委派项目经理签字并加盖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color w:val="auto"/>
          <w:kern w:val="0"/>
          <w:sz w:val="24"/>
        </w:rPr>
        <w:t>公司公章或公司合同专用章</w:t>
      </w:r>
      <w:r>
        <w:rPr>
          <w:rFonts w:hint="eastAsia" w:ascii="仿宋" w:hAnsi="仿宋" w:eastAsia="仿宋" w:cs="Times New Roman"/>
          <w:color w:val="auto"/>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倍的违约金。</w:t>
      </w:r>
    </w:p>
    <w:p w14:paraId="39586BEF">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15.2合同生效：本合同经甲乙双方签字盖章后，须经驻地监理办审查，报发包人备案之日起生效。</w:t>
      </w:r>
    </w:p>
    <w:p w14:paraId="02CD9411">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15.3合同终止日期：在全部工程竣工，办理竣工验收款项结清后失效。</w:t>
      </w:r>
    </w:p>
    <w:p w14:paraId="68B10228">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15.4本合同发生纠纷时，甲乙双方应及时协商解决。若协商不成时，可向</w:t>
      </w:r>
      <w:r>
        <w:rPr>
          <w:rFonts w:hint="eastAsia" w:ascii="仿宋" w:hAnsi="仿宋" w:eastAsia="仿宋" w:cs="Times New Roman"/>
          <w:color w:val="auto"/>
          <w:sz w:val="24"/>
          <w:lang w:val="en-US" w:eastAsia="zh-CN"/>
        </w:rPr>
        <w:t>甲方所在地有管辖权的人民法院</w:t>
      </w:r>
      <w:r>
        <w:rPr>
          <w:rFonts w:hint="eastAsia" w:ascii="仿宋" w:hAnsi="仿宋" w:eastAsia="仿宋" w:cs="Times New Roman"/>
          <w:color w:val="auto"/>
          <w:sz w:val="24"/>
        </w:rPr>
        <w:t>提起</w:t>
      </w:r>
      <w:r>
        <w:rPr>
          <w:rFonts w:hint="eastAsia" w:ascii="仿宋" w:hAnsi="仿宋" w:eastAsia="仿宋" w:cs="Times New Roman"/>
          <w:color w:val="auto"/>
          <w:sz w:val="24"/>
          <w:lang w:val="en-US" w:eastAsia="zh-CN"/>
        </w:rPr>
        <w:t>诉讼</w:t>
      </w:r>
      <w:r>
        <w:rPr>
          <w:rFonts w:hint="eastAsia" w:ascii="仿宋" w:hAnsi="仿宋" w:eastAsia="仿宋" w:cs="Times New Roman"/>
          <w:color w:val="auto"/>
          <w:sz w:val="24"/>
        </w:rPr>
        <w:t>。</w:t>
      </w:r>
    </w:p>
    <w:p w14:paraId="59FF029A">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15.5本合同一式</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份，甲乙双方各执正本一份，副本</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份，驻地监理办、发包人备案各一份。</w:t>
      </w:r>
    </w:p>
    <w:p w14:paraId="54F59E09">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15.6本合同未尽事宜，发包人与甲方签订总包合同的相关条款已有的，按其办理；未涉及的，按照本工程合同文件的精神，甲乙双方协商解决。</w:t>
      </w:r>
    </w:p>
    <w:p w14:paraId="097FA3E1">
      <w:pPr>
        <w:spacing w:line="360" w:lineRule="auto"/>
        <w:ind w:firstLine="480"/>
        <w:rPr>
          <w:rFonts w:hint="eastAsia" w:ascii="仿宋" w:hAnsi="仿宋" w:eastAsia="仿宋" w:cs="Times New Roman"/>
          <w:color w:val="auto"/>
          <w:sz w:val="24"/>
        </w:rPr>
      </w:pPr>
    </w:p>
    <w:p w14:paraId="177DCCC1">
      <w:pPr>
        <w:spacing w:line="360" w:lineRule="auto"/>
        <w:ind w:firstLine="480"/>
        <w:rPr>
          <w:rFonts w:hint="eastAsia" w:ascii="仿宋" w:hAnsi="仿宋" w:eastAsia="仿宋" w:cs="Times New Roman"/>
          <w:color w:val="auto"/>
          <w:sz w:val="24"/>
        </w:rPr>
      </w:pPr>
      <w:r>
        <w:rPr>
          <w:rFonts w:hint="eastAsia" w:ascii="仿宋" w:hAnsi="仿宋" w:eastAsia="仿宋" w:cs="Times New Roman"/>
          <w:color w:val="auto"/>
          <w:sz w:val="24"/>
        </w:rPr>
        <w:t>（此页无正文，仅为签字盖章页）</w:t>
      </w:r>
    </w:p>
    <w:p w14:paraId="575A591C">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甲  方：(盖章)                           乙  方：(盖章)</w:t>
      </w:r>
    </w:p>
    <w:p w14:paraId="117291C1">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法定代表人：(签字)                       法定代表人：(签字)</w:t>
      </w:r>
    </w:p>
    <w:p w14:paraId="721AF074">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委托代理人：(签字)                       委托代理人：(签字)</w:t>
      </w:r>
    </w:p>
    <w:p w14:paraId="10605633">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地    址：                               地    址：</w:t>
      </w:r>
    </w:p>
    <w:p w14:paraId="22392907">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电    话：                               电    话：</w:t>
      </w:r>
    </w:p>
    <w:p w14:paraId="77277A8B">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开户银行：                               开户银行：</w:t>
      </w:r>
    </w:p>
    <w:p w14:paraId="08AE5B10">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银行帐号：                               银行帐号：</w:t>
      </w:r>
    </w:p>
    <w:p w14:paraId="7FEAF7D7">
      <w:pPr>
        <w:spacing w:line="400" w:lineRule="exact"/>
        <w:rPr>
          <w:rFonts w:hint="eastAsia" w:ascii="仿宋" w:hAnsi="仿宋" w:eastAsia="仿宋" w:cs="Times New Roman"/>
          <w:color w:val="auto"/>
          <w:sz w:val="24"/>
        </w:rPr>
      </w:pPr>
      <w:r>
        <w:rPr>
          <w:rFonts w:hint="eastAsia" w:ascii="仿宋" w:hAnsi="仿宋" w:eastAsia="仿宋" w:cs="Times New Roman"/>
          <w:color w:val="auto"/>
          <w:sz w:val="24"/>
        </w:rPr>
        <w:t>签订时间：                               签订时间：</w:t>
      </w:r>
    </w:p>
    <w:p w14:paraId="1E5F76ED">
      <w:pPr>
        <w:wordWrap w:val="0"/>
        <w:spacing w:before="200" w:after="160"/>
        <w:ind w:right="864"/>
        <w:jc w:val="both"/>
        <w:rPr>
          <w:rFonts w:hint="eastAsia" w:ascii="Times New Roman" w:hAnsi="Times New Roman" w:eastAsia="宋体" w:cs="Times New Roman"/>
          <w:b w:val="0"/>
          <w:bCs/>
          <w:i/>
          <w:iCs/>
          <w:color w:val="auto"/>
          <w:sz w:val="21"/>
          <w:szCs w:val="21"/>
          <w:lang w:val="en-US" w:eastAsia="zh-CN" w:bidi="ar-SA"/>
        </w:rPr>
      </w:pPr>
    </w:p>
    <w:p w14:paraId="18588D67">
      <w:pPr>
        <w:pStyle w:val="3"/>
        <w:rPr>
          <w:rFonts w:hint="eastAsia"/>
          <w:color w:val="auto"/>
          <w:lang w:val="en-US" w:eastAsia="zh-CN"/>
        </w:rPr>
        <w:sectPr>
          <w:footerReference r:id="rId6"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12"/>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（编号02号）施工分包（水电安装及附属工程）</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74920011"/>
      <w:bookmarkStart w:id="19" w:name="_Toc486837000"/>
      <w:bookmarkStart w:id="20" w:name="_Toc39826987"/>
      <w:bookmarkStart w:id="21" w:name="_Toc480462724"/>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516798"/>
    <w:rsid w:val="1C581A4E"/>
    <w:rsid w:val="2465270E"/>
    <w:rsid w:val="263B06E2"/>
    <w:rsid w:val="2D3F50FC"/>
    <w:rsid w:val="31C33762"/>
    <w:rsid w:val="34A80A94"/>
    <w:rsid w:val="403F7575"/>
    <w:rsid w:val="4A537A00"/>
    <w:rsid w:val="56023A77"/>
    <w:rsid w:val="5C1B2DDE"/>
    <w:rsid w:val="5F406378"/>
    <w:rsid w:val="62406095"/>
    <w:rsid w:val="63020250"/>
    <w:rsid w:val="642826DF"/>
    <w:rsid w:val="672A074E"/>
    <w:rsid w:val="695B3EE0"/>
    <w:rsid w:val="6C7B37C0"/>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1215</Words>
  <Characters>1366</Characters>
  <Lines>0</Lines>
  <Paragraphs>0</Paragraphs>
  <TotalTime>3</TotalTime>
  <ScaleCrop>false</ScaleCrop>
  <LinksUpToDate>false</LinksUpToDate>
  <CharactersWithSpaces>1391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2025-04-01T07:51:05Z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D5069DD2C47A44588B81BE8C14E7E677_13</vt:lpwstr>
  </property>
  <property fmtid="{D5CDD505-2E9C-101B-9397-08002B2CF9AE}" pid="4" name="KSOTemplateDocerSaveRecord">
    <vt:lpwstr>eyJoZGlkIjoiZTcwNDdlYTI1OTFhMDMyZjIzNDQ4NGFmYzk0ZjJkYmQiLCJ1c2VySWQiOiIxNjY4MjkxOTUwIn0=</vt:lpwstr>
  </property>
</Properties>
</file>