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755E4CD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4525E20B">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11EEB970">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惠东县水质提升工程项目（黄埠镇盐洲片区）</w:t>
      </w:r>
    </w:p>
    <w:p w14:paraId="456DBC2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6B14F37D">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2C14EB55">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（编号01号）施工分包（桩基、装修装饰工程）</w:t>
      </w:r>
    </w:p>
    <w:p w14:paraId="75F5232A">
      <w:pPr>
        <w:widowControl w:val="0"/>
        <w:wordWrap w:val="0"/>
        <w:spacing w:line="288" w:lineRule="auto"/>
        <w:jc w:val="center"/>
        <w:rPr>
          <w:rFonts w:hint="eastAsia" w:ascii="宋体" w:hAnsi="宋体" w:eastAsia="宋体" w:cs="宋体"/>
          <w:b/>
          <w:color w:val="auto"/>
          <w:kern w:val="0"/>
          <w:sz w:val="48"/>
          <w:szCs w:val="48"/>
          <w:highlight w:val="none"/>
          <w:u w:val="none"/>
          <w:lang w:eastAsia="zh-CN"/>
        </w:rPr>
      </w:pPr>
      <w:r>
        <w:rPr>
          <w:rFonts w:hint="eastAsia" w:ascii="宋体" w:hAnsi="宋体" w:eastAsia="宋体" w:cs="宋体"/>
          <w:b/>
          <w:color w:val="auto"/>
          <w:kern w:val="0"/>
          <w:sz w:val="48"/>
          <w:szCs w:val="48"/>
          <w:highlight w:val="none"/>
          <w:u w:val="none"/>
          <w:lang w:val="en-US" w:eastAsia="zh-CN"/>
        </w:rPr>
        <w:t>竞价</w:t>
      </w:r>
      <w:r>
        <w:rPr>
          <w:rFonts w:hint="eastAsia" w:ascii="宋体" w:hAnsi="宋体" w:eastAsia="宋体" w:cs="宋体"/>
          <w:b/>
          <w:color w:val="auto"/>
          <w:kern w:val="0"/>
          <w:sz w:val="48"/>
          <w:szCs w:val="48"/>
          <w:highlight w:val="none"/>
          <w:u w:val="none"/>
          <w:lang w:eastAsia="zh-CN"/>
        </w:rPr>
        <w:t>文件</w:t>
      </w:r>
    </w:p>
    <w:p w14:paraId="4B3D5EDE">
      <w:pPr>
        <w:widowControl w:val="0"/>
        <w:wordWrap w:val="0"/>
        <w:spacing w:line="288" w:lineRule="auto"/>
        <w:ind w:firstLine="880" w:firstLineChars="200"/>
        <w:jc w:val="both"/>
        <w:rPr>
          <w:rFonts w:hint="eastAsia" w:ascii="宋体" w:hAnsi="宋体" w:eastAsia="宋体" w:cs="宋体"/>
          <w:color w:val="auto"/>
          <w:kern w:val="0"/>
          <w:sz w:val="44"/>
          <w:szCs w:val="44"/>
          <w:highlight w:val="none"/>
          <w:lang w:eastAsia="zh-CN"/>
        </w:rPr>
      </w:pPr>
    </w:p>
    <w:p w14:paraId="4B751C6E">
      <w:pPr>
        <w:widowControl w:val="0"/>
        <w:wordWrap w:val="0"/>
        <w:spacing w:line="288" w:lineRule="auto"/>
        <w:ind w:firstLine="640" w:firstLineChars="200"/>
        <w:jc w:val="both"/>
        <w:rPr>
          <w:rFonts w:hint="eastAsia" w:ascii="宋体" w:hAnsi="宋体" w:eastAsia="宋体" w:cs="宋体"/>
          <w:color w:val="auto"/>
          <w:kern w:val="0"/>
          <w:sz w:val="32"/>
          <w:szCs w:val="32"/>
          <w:highlight w:val="none"/>
          <w:lang w:eastAsia="zh-CN"/>
        </w:rPr>
      </w:pPr>
    </w:p>
    <w:p w14:paraId="1F2A3B5C">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79A238D3">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2F3F4CE3">
      <w:pPr>
        <w:spacing w:line="560" w:lineRule="exact"/>
        <w:ind w:firstLine="561"/>
        <w:rPr>
          <w:rFonts w:hint="eastAsia" w:ascii="宋体" w:hAnsi="宋体" w:eastAsia="宋体" w:cs="宋体"/>
          <w:color w:val="auto"/>
          <w:sz w:val="28"/>
          <w:szCs w:val="28"/>
          <w:highlight w:val="none"/>
          <w:lang w:val="en-US" w:eastAsia="zh-CN" w:bidi="ar-SA"/>
        </w:rPr>
      </w:pPr>
    </w:p>
    <w:p w14:paraId="31CC510C">
      <w:pPr>
        <w:widowControl w:val="0"/>
        <w:wordWrap w:val="0"/>
        <w:spacing w:line="360" w:lineRule="auto"/>
        <w:jc w:val="both"/>
        <w:rPr>
          <w:rFonts w:hint="eastAsia" w:ascii="宋体" w:hAnsi="宋体" w:eastAsia="宋体" w:cs="宋体"/>
          <w:color w:val="auto"/>
          <w:kern w:val="0"/>
          <w:sz w:val="32"/>
          <w:szCs w:val="32"/>
          <w:highlight w:val="none"/>
          <w:lang w:eastAsia="zh-CN"/>
        </w:rPr>
      </w:pPr>
    </w:p>
    <w:p w14:paraId="1D4D4FCE">
      <w:pPr>
        <w:framePr w:wrap="around" w:vAnchor="margin" w:hAnchor="text" w:y="1"/>
        <w:spacing w:line="560" w:lineRule="exact"/>
        <w:ind w:firstLine="561"/>
        <w:rPr>
          <w:rFonts w:hint="eastAsia" w:ascii="宋体" w:hAnsi="宋体" w:eastAsia="宋体" w:cs="宋体"/>
          <w:color w:val="auto"/>
          <w:sz w:val="28"/>
          <w:szCs w:val="28"/>
          <w:highlight w:val="none"/>
          <w:lang w:val="en-US" w:eastAsia="zh-CN" w:bidi="ar-SA"/>
        </w:rPr>
      </w:pPr>
    </w:p>
    <w:p w14:paraId="2A256217">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广东路通达建设工程有限公司</w:t>
      </w:r>
    </w:p>
    <w:p w14:paraId="6630CF56">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惠州中茂招标有限公司</w:t>
      </w:r>
    </w:p>
    <w:p w14:paraId="4AE52994">
      <w:pPr>
        <w:widowControl w:val="0"/>
        <w:wordWrap w:val="0"/>
        <w:spacing w:line="720" w:lineRule="exact"/>
        <w:jc w:val="center"/>
        <w:rPr>
          <w:rFonts w:hint="eastAsia" w:ascii="宋体" w:hAnsi="宋体" w:eastAsia="宋体" w:cs="宋体"/>
          <w:b/>
          <w:bCs/>
          <w:color w:val="auto"/>
          <w:kern w:val="2"/>
          <w:sz w:val="44"/>
          <w:szCs w:val="44"/>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2025年2月11日</w:t>
      </w:r>
    </w:p>
    <w:p w14:paraId="06E7D5EF">
      <w:pPr>
        <w:wordWrap w:val="0"/>
        <w:rPr>
          <w:rFonts w:hint="eastAsia" w:ascii="宋体" w:hAnsi="宋体" w:eastAsia="宋体" w:cs="宋体"/>
          <w:b/>
          <w:bCs/>
          <w:color w:val="auto"/>
          <w:sz w:val="44"/>
          <w:szCs w:val="44"/>
          <w:highlight w:val="none"/>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widowControl w:val="0"/>
        <w:wordWrap w:val="0"/>
        <w:spacing w:line="440" w:lineRule="exact"/>
        <w:jc w:val="center"/>
        <w:outlineLvl w:val="9"/>
        <w:rPr>
          <w:rFonts w:hint="eastAsia" w:ascii="宋体" w:hAnsi="宋体" w:eastAsia="宋体" w:cs="宋体"/>
          <w:b/>
          <w:bCs/>
          <w:color w:val="auto"/>
          <w:kern w:val="2"/>
          <w:sz w:val="44"/>
          <w:szCs w:val="44"/>
          <w:highlight w:val="none"/>
          <w:u w:color="000000"/>
          <w:lang w:val="zh-TW" w:eastAsia="zh-TW" w:bidi="ar-SA"/>
        </w:rPr>
      </w:pPr>
      <w:r>
        <w:rPr>
          <w:rFonts w:hint="eastAsia" w:ascii="宋体" w:hAnsi="宋体" w:eastAsia="宋体" w:cs="宋体"/>
          <w:b/>
          <w:bCs/>
          <w:color w:val="auto"/>
          <w:kern w:val="2"/>
          <w:sz w:val="44"/>
          <w:szCs w:val="44"/>
          <w:highlight w:val="none"/>
          <w:u w:color="000000"/>
          <w:lang w:val="zh-TW" w:eastAsia="zh-TW" w:bidi="ar-SA"/>
        </w:rPr>
        <w:t>目    录</w:t>
      </w:r>
    </w:p>
    <w:p w14:paraId="2CCFF8AF">
      <w:pPr>
        <w:keepNext w:val="0"/>
        <w:keepLines w:val="0"/>
        <w:pageBreakBefore w:val="0"/>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lang w:val="en-US" w:eastAsia="en-US" w:bidi="ar-SA"/>
        </w:rPr>
      </w:pPr>
    </w:p>
    <w:p w14:paraId="292D4FDA">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sz w:val="52"/>
          <w:szCs w:val="52"/>
          <w:lang w:val="en-US" w:eastAsia="en-US" w:bidi="ar-SA"/>
        </w:rPr>
        <w:fldChar w:fldCharType="begin"/>
      </w:r>
      <w:r>
        <w:rPr>
          <w:rFonts w:hint="eastAsia" w:ascii="宋体" w:hAnsi="宋体" w:eastAsia="宋体" w:cs="宋体"/>
          <w:b/>
          <w:bCs w:val="0"/>
          <w:color w:val="auto"/>
          <w:sz w:val="52"/>
          <w:szCs w:val="52"/>
          <w:lang w:val="en-US" w:eastAsia="en-US" w:bidi="ar-SA"/>
        </w:rPr>
        <w:instrText xml:space="preserve">TOC \o "1-3" \h \u </w:instrText>
      </w:r>
      <w:r>
        <w:rPr>
          <w:rFonts w:hint="eastAsia" w:ascii="宋体" w:hAnsi="宋体" w:eastAsia="宋体" w:cs="宋体"/>
          <w:b/>
          <w:bCs w:val="0"/>
          <w:color w:val="auto"/>
          <w:sz w:val="52"/>
          <w:szCs w:val="52"/>
          <w:lang w:val="en-US" w:eastAsia="en-US" w:bidi="ar-SA"/>
        </w:rPr>
        <w:fldChar w:fldCharType="separate"/>
      </w:r>
      <w:r>
        <w:rPr>
          <w:rFonts w:hint="eastAsia" w:ascii="宋体" w:hAnsi="宋体" w:eastAsia="宋体" w:cs="宋体"/>
          <w:b/>
          <w:bCs w:val="0"/>
          <w:color w:val="auto"/>
          <w:sz w:val="32"/>
          <w:szCs w:val="52"/>
          <w:lang w:val="en-US" w:eastAsia="en-US" w:bidi="ar-SA"/>
        </w:rPr>
        <w:fldChar w:fldCharType="begin"/>
      </w:r>
      <w:r>
        <w:rPr>
          <w:rFonts w:hint="eastAsia" w:ascii="宋体" w:hAnsi="宋体" w:eastAsia="宋体" w:cs="宋体"/>
          <w:b/>
          <w:bCs w:val="0"/>
          <w:color w:val="auto"/>
          <w:sz w:val="32"/>
          <w:szCs w:val="52"/>
          <w:lang w:val="en-US" w:eastAsia="en-US" w:bidi="ar-SA"/>
        </w:rPr>
        <w:instrText xml:space="preserve"> HYPERLINK \l _Toc23007 </w:instrText>
      </w:r>
      <w:r>
        <w:rPr>
          <w:rFonts w:hint="eastAsia" w:ascii="宋体" w:hAnsi="宋体" w:eastAsia="宋体" w:cs="宋体"/>
          <w:b/>
          <w:bCs w:val="0"/>
          <w:color w:val="auto"/>
          <w:sz w:val="32"/>
          <w:szCs w:val="52"/>
          <w:lang w:val="en-US" w:eastAsia="en-US" w:bidi="ar-SA"/>
        </w:rPr>
        <w:fldChar w:fldCharType="separate"/>
      </w:r>
      <w:r>
        <w:rPr>
          <w:rFonts w:hint="eastAsia" w:ascii="宋体" w:hAnsi="宋体" w:eastAsia="宋体" w:cs="宋体"/>
          <w:b/>
          <w:bCs w:val="0"/>
          <w:color w:val="auto"/>
          <w:kern w:val="0"/>
          <w:sz w:val="32"/>
          <w:szCs w:val="48"/>
          <w:highlight w:val="none"/>
          <w:lang w:val="en-US" w:eastAsia="zh-CN"/>
        </w:rPr>
        <w:t>第一部分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竞价</w:t>
      </w:r>
      <w:r>
        <w:rPr>
          <w:rFonts w:hint="eastAsia" w:ascii="宋体" w:hAnsi="宋体" w:eastAsia="宋体" w:cs="宋体"/>
          <w:b/>
          <w:bCs w:val="0"/>
          <w:color w:val="auto"/>
          <w:kern w:val="0"/>
          <w:sz w:val="32"/>
          <w:szCs w:val="48"/>
          <w:highlight w:val="none"/>
          <w:lang w:val="zh-TW" w:eastAsia="zh-TW"/>
        </w:rPr>
        <w:t>公告</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_Toc23007 \h </w:instrText>
      </w:r>
      <w:r>
        <w:rPr>
          <w:b/>
          <w:bCs w:val="0"/>
          <w:color w:val="auto"/>
          <w:sz w:val="32"/>
          <w:szCs w:val="40"/>
        </w:rPr>
        <w:fldChar w:fldCharType="separate"/>
      </w:r>
      <w:r>
        <w:rPr>
          <w:b/>
          <w:bCs w:val="0"/>
          <w:color w:val="auto"/>
          <w:sz w:val="32"/>
          <w:szCs w:val="40"/>
        </w:rPr>
        <w:t>3</w:t>
      </w:r>
      <w:r>
        <w:rPr>
          <w:b/>
          <w:bCs w:val="0"/>
          <w:color w:val="auto"/>
          <w:sz w:val="32"/>
          <w:szCs w:val="40"/>
        </w:rPr>
        <w:fldChar w:fldCharType="end"/>
      </w:r>
      <w:r>
        <w:rPr>
          <w:rFonts w:hint="eastAsia" w:ascii="宋体" w:hAnsi="宋体" w:eastAsia="宋体" w:cs="宋体"/>
          <w:b/>
          <w:bCs w:val="0"/>
          <w:color w:val="auto"/>
          <w:sz w:val="32"/>
          <w:szCs w:val="52"/>
          <w:lang w:val="en-US" w:eastAsia="en-US" w:bidi="ar-SA"/>
        </w:rPr>
        <w:fldChar w:fldCharType="end"/>
      </w:r>
    </w:p>
    <w:p w14:paraId="655AB81B">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_Toc789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zh-TW" w:eastAsia="zh-TW"/>
        </w:rPr>
        <w:t>第</w:t>
      </w:r>
      <w:r>
        <w:rPr>
          <w:rFonts w:hint="eastAsia" w:ascii="宋体" w:hAnsi="宋体" w:eastAsia="宋体" w:cs="宋体"/>
          <w:b/>
          <w:bCs w:val="0"/>
          <w:color w:val="auto"/>
          <w:kern w:val="0"/>
          <w:sz w:val="32"/>
          <w:szCs w:val="48"/>
          <w:highlight w:val="none"/>
          <w:lang w:eastAsia="zh-CN"/>
        </w:rPr>
        <w:t>二</w:t>
      </w:r>
      <w:r>
        <w:rPr>
          <w:rFonts w:hint="eastAsia" w:ascii="宋体" w:hAnsi="宋体" w:eastAsia="宋体" w:cs="宋体"/>
          <w:b/>
          <w:bCs w:val="0"/>
          <w:color w:val="auto"/>
          <w:kern w:val="0"/>
          <w:sz w:val="32"/>
          <w:szCs w:val="48"/>
          <w:highlight w:val="none"/>
          <w:lang w:val="zh-TW" w:eastAsia="zh-TW"/>
        </w:rPr>
        <w:t xml:space="preserve">部分  </w:t>
      </w:r>
      <w:r>
        <w:rPr>
          <w:rFonts w:hint="eastAsia" w:ascii="宋体" w:hAnsi="宋体" w:eastAsia="宋体" w:cs="宋体"/>
          <w:b/>
          <w:bCs w:val="0"/>
          <w:color w:val="auto"/>
          <w:kern w:val="0"/>
          <w:sz w:val="32"/>
          <w:szCs w:val="48"/>
          <w:highlight w:val="none"/>
          <w:lang w:eastAsia="zh-CN"/>
        </w:rPr>
        <w:t>参选人须知</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_Toc789 \h </w:instrText>
      </w:r>
      <w:r>
        <w:rPr>
          <w:b/>
          <w:bCs w:val="0"/>
          <w:color w:val="auto"/>
          <w:sz w:val="32"/>
          <w:szCs w:val="40"/>
        </w:rPr>
        <w:fldChar w:fldCharType="separate"/>
      </w:r>
      <w:r>
        <w:rPr>
          <w:b/>
          <w:bCs w:val="0"/>
          <w:color w:val="auto"/>
          <w:sz w:val="32"/>
          <w:szCs w:val="40"/>
        </w:rPr>
        <w:t>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1EC679E5">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_Toc27124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第三部分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工程量清单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_Toc27124 \h </w:instrText>
      </w:r>
      <w:r>
        <w:rPr>
          <w:b/>
          <w:bCs w:val="0"/>
          <w:color w:val="auto"/>
          <w:sz w:val="32"/>
          <w:szCs w:val="40"/>
        </w:rPr>
        <w:fldChar w:fldCharType="separate"/>
      </w:r>
      <w:r>
        <w:rPr>
          <w:b/>
          <w:bCs w:val="0"/>
          <w:color w:val="auto"/>
          <w:sz w:val="32"/>
          <w:szCs w:val="40"/>
        </w:rPr>
        <w:t>12</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5146CD9D">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_Toc24321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第四部分  评选办法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_Toc24321 \h </w:instrText>
      </w:r>
      <w:r>
        <w:rPr>
          <w:b/>
          <w:bCs w:val="0"/>
          <w:color w:val="auto"/>
          <w:sz w:val="32"/>
          <w:szCs w:val="40"/>
        </w:rPr>
        <w:fldChar w:fldCharType="separate"/>
      </w:r>
      <w:r>
        <w:rPr>
          <w:b/>
          <w:bCs w:val="0"/>
          <w:color w:val="auto"/>
          <w:sz w:val="32"/>
          <w:szCs w:val="40"/>
        </w:rPr>
        <w:t>13</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2361C6B2">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_Toc20303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lang w:val="en-US" w:eastAsia="zh-CN"/>
        </w:rPr>
        <w:t xml:space="preserve">第五部分 </w:t>
      </w:r>
      <w:r>
        <w:rPr>
          <w:rFonts w:hint="eastAsia" w:ascii="宋体" w:hAnsi="宋体" w:eastAsia="宋体" w:cs="宋体"/>
          <w:b/>
          <w:bCs w:val="0"/>
          <w:color w:val="auto"/>
          <w:kern w:val="0"/>
          <w:sz w:val="32"/>
          <w:szCs w:val="48"/>
          <w:highlight w:val="none"/>
          <w:lang w:val="en-US" w:eastAsia="zh-CN"/>
        </w:rPr>
        <w:t>合同主要条款</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_Toc20303 \h </w:instrText>
      </w:r>
      <w:r>
        <w:rPr>
          <w:b/>
          <w:bCs w:val="0"/>
          <w:color w:val="auto"/>
          <w:sz w:val="32"/>
          <w:szCs w:val="40"/>
        </w:rPr>
        <w:fldChar w:fldCharType="separate"/>
      </w:r>
      <w:r>
        <w:rPr>
          <w:b/>
          <w:bCs w:val="0"/>
          <w:color w:val="auto"/>
          <w:sz w:val="32"/>
          <w:szCs w:val="40"/>
        </w:rPr>
        <w:t>14</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63FA15AE">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_Toc27313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第六部分  响应文件格式</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_Toc27313 \h </w:instrText>
      </w:r>
      <w:r>
        <w:rPr>
          <w:b/>
          <w:bCs w:val="0"/>
          <w:color w:val="auto"/>
          <w:sz w:val="32"/>
          <w:szCs w:val="40"/>
        </w:rPr>
        <w:fldChar w:fldCharType="separate"/>
      </w:r>
      <w:r>
        <w:rPr>
          <w:b/>
          <w:bCs w:val="0"/>
          <w:color w:val="auto"/>
          <w:sz w:val="32"/>
          <w:szCs w:val="40"/>
        </w:rPr>
        <w:t>30</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03CC74B3">
      <w:pPr>
        <w:keepNext w:val="0"/>
        <w:keepLines w:val="0"/>
        <w:pageBreakBefore w:val="0"/>
        <w:framePr w:wrap="around" w:vAnchor="page" w:hAnchor="text" w:y="3110"/>
        <w:widowControl/>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kern w:val="0"/>
          <w:sz w:val="40"/>
          <w:szCs w:val="40"/>
          <w:lang w:eastAsia="en-US"/>
        </w:rPr>
      </w:pPr>
      <w:r>
        <w:rPr>
          <w:rFonts w:hint="eastAsia" w:ascii="宋体" w:hAnsi="宋体" w:eastAsia="宋体" w:cs="宋体"/>
          <w:b/>
          <w:bCs w:val="0"/>
          <w:color w:val="auto"/>
          <w:kern w:val="0"/>
          <w:sz w:val="32"/>
          <w:szCs w:val="52"/>
          <w:lang w:eastAsia="en-US"/>
        </w:rPr>
        <w:fldChar w:fldCharType="end"/>
      </w:r>
    </w:p>
    <w:p w14:paraId="593E6214">
      <w:pPr>
        <w:widowControl w:val="0"/>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pPr>
      <w:r>
        <w:rPr>
          <w:rFonts w:hint="eastAsia" w:ascii="宋体" w:hAnsi="宋体" w:eastAsia="宋体" w:cs="宋体"/>
          <w:b/>
          <w:bCs/>
          <w:color w:val="auto"/>
          <w:kern w:val="2"/>
          <w:sz w:val="32"/>
          <w:szCs w:val="32"/>
          <w:highlight w:val="none"/>
          <w:u w:color="000000"/>
          <w:lang w:val="en-US" w:eastAsia="zh-CN" w:bidi="ar-SA"/>
        </w:rPr>
        <w:br w:type="page"/>
      </w:r>
    </w:p>
    <w:p w14:paraId="0F32ED90">
      <w:pPr>
        <w:keepNext w:val="0"/>
        <w:keepLines/>
        <w:pageBreakBefore w:val="0"/>
        <w:widowControl/>
        <w:kinsoku/>
        <w:wordWrap w:val="0"/>
        <w:overflowPunct/>
        <w:topLinePunct w:val="0"/>
        <w:autoSpaceDE/>
        <w:autoSpaceDN/>
        <w:bidi w:val="0"/>
        <w:adjustRightInd/>
        <w:snapToGrid/>
        <w:spacing w:line="480" w:lineRule="auto"/>
        <w:ind w:left="-199" w:leftChars="-95" w:firstLine="0" w:firstLineChars="0"/>
        <w:jc w:val="center"/>
        <w:textAlignment w:val="auto"/>
        <w:outlineLvl w:val="0"/>
        <w:rPr>
          <w:rFonts w:hint="eastAsia" w:ascii="宋体" w:hAnsi="宋体" w:eastAsia="宋体" w:cs="宋体"/>
          <w:b/>
          <w:bCs/>
          <w:color w:val="auto"/>
          <w:kern w:val="0"/>
          <w:sz w:val="32"/>
          <w:szCs w:val="32"/>
          <w:highlight w:val="none"/>
          <w:lang w:val="zh-TW" w:eastAsia="zh-TW"/>
        </w:rPr>
      </w:pPr>
      <w:bookmarkStart w:id="0" w:name="_Toc23007"/>
      <w:r>
        <w:rPr>
          <w:rFonts w:hint="eastAsia" w:ascii="宋体" w:hAnsi="宋体" w:eastAsia="宋体" w:cs="宋体"/>
          <w:b/>
          <w:bCs/>
          <w:color w:val="auto"/>
          <w:kern w:val="0"/>
          <w:sz w:val="32"/>
          <w:szCs w:val="32"/>
          <w:highlight w:val="none"/>
          <w:lang w:val="en-US" w:eastAsia="zh-CN"/>
        </w:rPr>
        <w:t>第一部分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竞价</w:t>
      </w:r>
      <w:r>
        <w:rPr>
          <w:rFonts w:hint="eastAsia" w:ascii="宋体" w:hAnsi="宋体" w:eastAsia="宋体" w:cs="宋体"/>
          <w:b/>
          <w:bCs/>
          <w:color w:val="auto"/>
          <w:kern w:val="0"/>
          <w:sz w:val="32"/>
          <w:szCs w:val="32"/>
          <w:highlight w:val="none"/>
          <w:lang w:val="zh-TW" w:eastAsia="zh-TW"/>
        </w:rPr>
        <w:t>公告</w:t>
      </w:r>
      <w:bookmarkEnd w:id="0"/>
    </w:p>
    <w:p w14:paraId="162A50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0"/>
          <w:sz w:val="28"/>
          <w:szCs w:val="28"/>
          <w:highlight w:val="none"/>
          <w:lang w:eastAsia="en-US"/>
        </w:rPr>
      </w:pPr>
      <w:r>
        <w:rPr>
          <w:rFonts w:hint="eastAsia" w:ascii="宋体" w:hAnsi="宋体" w:eastAsia="宋体" w:cs="宋体"/>
          <w:color w:val="auto"/>
          <w:kern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kern w:val="0"/>
          <w:sz w:val="28"/>
          <w:szCs w:val="28"/>
          <w:highlight w:val="none"/>
          <w:u w:val="none" w:color="auto"/>
          <w:lang w:val="en-US" w:eastAsia="zh-CN"/>
        </w:rPr>
        <w:t>”</w:t>
      </w:r>
      <w:r>
        <w:rPr>
          <w:rFonts w:hint="eastAsia" w:ascii="宋体" w:hAnsi="宋体" w:eastAsia="宋体" w:cs="宋体"/>
          <w:color w:val="auto"/>
          <w:kern w:val="0"/>
          <w:sz w:val="28"/>
          <w:szCs w:val="28"/>
          <w:highlight w:val="none"/>
          <w:u w:val="none" w:color="auto"/>
          <w:lang w:val="en-US" w:eastAsia="zh-CN"/>
        </w:rPr>
        <w:t>）的委托，诚邀国内合格参选人就惠东县水质提升工程项目（黄埠镇盐洲片区）（编号01号）施工分包（桩基、装修装饰工程）</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53C2F518">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一、采购方式：</w:t>
      </w:r>
      <w:r>
        <w:rPr>
          <w:rFonts w:hint="eastAsia" w:ascii="宋体" w:hAnsi="宋体" w:eastAsia="宋体" w:cs="宋体"/>
          <w:color w:val="auto"/>
          <w:kern w:val="2"/>
          <w:sz w:val="28"/>
          <w:szCs w:val="28"/>
          <w:highlight w:val="none"/>
          <w:u w:color="000000"/>
          <w:lang w:val="en-US" w:eastAsia="zh-CN" w:bidi="ar-SA"/>
        </w:rPr>
        <w:t>公开</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竞价</w:t>
      </w:r>
    </w:p>
    <w:p w14:paraId="3A5CE454">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二、项目概况与采购内容</w:t>
      </w:r>
    </w:p>
    <w:p w14:paraId="1FB6CA89">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1、项目概况：</w:t>
      </w:r>
    </w:p>
    <w:p w14:paraId="166A45D1">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val="0"/>
          <w:bCs w:val="0"/>
          <w:color w:val="auto"/>
          <w:kern w:val="2"/>
          <w:sz w:val="28"/>
          <w:szCs w:val="28"/>
          <w:highlight w:val="none"/>
          <w:u w:color="000000"/>
          <w:lang w:val="en-US" w:eastAsia="zh-CN" w:bidi="ar-SA"/>
        </w:rPr>
        <w:t>新建闸式截流井5座，新建闸门5座；新建污水管管径DN200～DN500，合计长度5.2km；新建接户管管径DN160，合计长度3km；新建污水处理厂1座，近期设计处理规模2000m3/d，远期新增3000m3/d，总设计处理规模5000m3/d，污水处理主体工艺采用“反应沉淀一体式生物反应器+高效沉淀深度处理”。（具体施工内容以招标人提供的施工图及工程量清单为准）。由广东路通达建设工程有限公司负责项目施工任务。</w:t>
      </w:r>
    </w:p>
    <w:p w14:paraId="066F9D9F">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bidi="ar-SA"/>
        </w:rPr>
      </w:pPr>
      <w:r>
        <w:rPr>
          <w:rFonts w:hint="eastAsia" w:ascii="宋体" w:hAnsi="宋体" w:eastAsia="宋体" w:cs="宋体"/>
          <w:b/>
          <w:bCs/>
          <w:color w:val="auto"/>
          <w:sz w:val="28"/>
          <w:szCs w:val="28"/>
          <w:highlight w:val="none"/>
          <w:lang w:val="en-US" w:eastAsia="zh-CN" w:bidi="ar-SA"/>
        </w:rPr>
        <w:t>采购内容：</w:t>
      </w:r>
    </w:p>
    <w:p w14:paraId="577CE0C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bidi="ar-SA"/>
        </w:rPr>
        <w:t>承包人现场施工所需的施工分包（桩基、装修装饰工程）</w:t>
      </w:r>
    </w:p>
    <w:p w14:paraId="7AFEAF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i w:val="0"/>
          <w:iCs w:val="0"/>
          <w:caps w:val="0"/>
          <w:color w:val="auto"/>
          <w:spacing w:val="0"/>
          <w:sz w:val="28"/>
          <w:szCs w:val="28"/>
          <w:highlight w:val="none"/>
          <w:u w:val="none"/>
          <w:shd w:val="clear" w:fill="FFFFFF"/>
          <w:lang w:val="en-US" w:eastAsia="en-US" w:bidi="ar-SA"/>
        </w:rPr>
        <w:t>三、</w:t>
      </w:r>
      <w:r>
        <w:rPr>
          <w:rFonts w:hint="eastAsia" w:ascii="宋体" w:hAnsi="宋体" w:eastAsia="宋体" w:cs="宋体"/>
          <w:b/>
          <w:i w:val="0"/>
          <w:iCs w:val="0"/>
          <w:caps w:val="0"/>
          <w:color w:val="auto"/>
          <w:spacing w:val="0"/>
          <w:sz w:val="28"/>
          <w:szCs w:val="28"/>
          <w:highlight w:val="none"/>
          <w:u w:val="none"/>
          <w:shd w:val="clear" w:fill="FFFFFF"/>
          <w:lang w:val="en-US" w:eastAsia="zh-CN" w:bidi="ar-SA"/>
        </w:rPr>
        <w:t>参选人</w:t>
      </w:r>
      <w:r>
        <w:rPr>
          <w:rFonts w:hint="eastAsia" w:ascii="宋体" w:hAnsi="宋体" w:eastAsia="宋体" w:cs="宋体"/>
          <w:b/>
          <w:i w:val="0"/>
          <w:iCs w:val="0"/>
          <w:caps w:val="0"/>
          <w:color w:val="auto"/>
          <w:spacing w:val="0"/>
          <w:sz w:val="28"/>
          <w:szCs w:val="28"/>
          <w:highlight w:val="none"/>
          <w:u w:val="none"/>
          <w:shd w:val="clear" w:fill="FFFFFF"/>
          <w:lang w:val="en-US" w:eastAsia="en-US" w:bidi="ar-SA"/>
        </w:rPr>
        <w:t>资格要求</w:t>
      </w:r>
    </w:p>
    <w:p w14:paraId="177608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在中华人民共和国境内注册的法人或其他组织，参选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73D89A9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B9547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本次采购不接受联合体响应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11B5B95">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四、</w:t>
      </w:r>
      <w:r>
        <w:rPr>
          <w:rFonts w:hint="eastAsia" w:ascii="宋体" w:hAnsi="宋体" w:eastAsia="宋体" w:cs="宋体"/>
          <w:b/>
          <w:bCs/>
          <w:i w:val="0"/>
          <w:iCs w:val="0"/>
          <w:caps w:val="0"/>
          <w:color w:val="auto"/>
          <w:spacing w:val="0"/>
          <w:kern w:val="0"/>
          <w:sz w:val="28"/>
          <w:szCs w:val="28"/>
          <w:highlight w:val="none"/>
          <w:u w:val="none" w:color="000000"/>
          <w:shd w:val="clear" w:fill="FFFFFF"/>
          <w:lang w:val="en-US" w:eastAsia="zh-CN" w:bidi="ar"/>
        </w:rPr>
        <w:t>竞价文件</w:t>
      </w:r>
      <w:r>
        <w:rPr>
          <w:rFonts w:hint="eastAsia" w:ascii="宋体" w:hAnsi="宋体" w:eastAsia="宋体" w:cs="宋体"/>
          <w:b/>
          <w:bCs/>
          <w:color w:val="auto"/>
          <w:kern w:val="2"/>
          <w:sz w:val="28"/>
          <w:szCs w:val="28"/>
          <w:highlight w:val="none"/>
          <w:u w:color="000000"/>
          <w:lang w:val="en-US" w:eastAsia="zh-CN" w:bidi="ar-SA"/>
        </w:rPr>
        <w:t>的获取</w:t>
      </w:r>
    </w:p>
    <w:p w14:paraId="736B9C8B">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1、本项目竞价文件、补遗书（补充、澄清、修改文件）以网上下载方式发放。如需图纸请自行联系本项目联系人获取。</w:t>
      </w:r>
    </w:p>
    <w:p w14:paraId="650932A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2、澄清、补充、修改等更正补充公告请自行登录http://www.gdltdjs.com进行下载，采购人不再另行通知。</w:t>
      </w:r>
    </w:p>
    <w:p w14:paraId="6479AB4C">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五、响应文件的递交</w:t>
      </w:r>
    </w:p>
    <w:p w14:paraId="4E2C1F10">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1、采购人不统一组织工程现场踏勘和响应预备会,响应人视需要自行前往现场踏勘。</w:t>
      </w:r>
    </w:p>
    <w:p w14:paraId="1FCE2C1C">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2、响应文</w:t>
      </w:r>
      <w:r>
        <w:rPr>
          <w:rFonts w:hint="eastAsia" w:ascii="宋体" w:hAnsi="宋体" w:eastAsia="宋体" w:cs="宋体"/>
          <w:color w:val="auto"/>
          <w:kern w:val="2"/>
          <w:sz w:val="28"/>
          <w:szCs w:val="28"/>
          <w:highlight w:val="none"/>
          <w:u w:val="none" w:color="auto"/>
          <w:lang w:val="en-US" w:eastAsia="zh-CN" w:bidi="ar-SA"/>
        </w:rPr>
        <w:t>件递交的截止时间：</w:t>
      </w:r>
      <w:r>
        <w:rPr>
          <w:rFonts w:hint="eastAsia" w:ascii="宋体" w:hAnsi="宋体" w:eastAsia="宋体" w:cs="宋体"/>
          <w:color w:val="auto"/>
          <w:kern w:val="2"/>
          <w:sz w:val="28"/>
          <w:szCs w:val="28"/>
          <w:highlight w:val="none"/>
          <w:u w:val="single" w:color="auto"/>
          <w:lang w:val="en-US" w:eastAsia="zh-CN" w:bidi="ar-SA"/>
        </w:rPr>
        <w:t>2025年2月17日12:00。</w:t>
      </w:r>
    </w:p>
    <w:p w14:paraId="37C1F08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3、响应文件递交方式：纸质响应文件采用现场递交或邮寄方式，递交（邮寄</w:t>
      </w:r>
      <w:r>
        <w:rPr>
          <w:rFonts w:hint="eastAsia" w:ascii="宋体" w:hAnsi="宋体" w:eastAsia="宋体" w:cs="宋体"/>
          <w:color w:val="auto"/>
          <w:kern w:val="2"/>
          <w:sz w:val="28"/>
          <w:szCs w:val="28"/>
          <w:highlight w:val="none"/>
          <w:u w:val="none" w:color="auto"/>
          <w:lang w:val="en-US" w:eastAsia="zh-CN" w:bidi="ar-SA"/>
        </w:rPr>
        <w:t>）地址：</w:t>
      </w:r>
      <w:r>
        <w:rPr>
          <w:rFonts w:hint="eastAsia" w:ascii="宋体" w:hAnsi="宋体" w:eastAsia="宋体" w:cs="宋体"/>
          <w:b w:val="0"/>
          <w:bCs w:val="0"/>
          <w:i w:val="0"/>
          <w:iCs w:val="0"/>
          <w:caps w:val="0"/>
          <w:color w:val="auto"/>
          <w:spacing w:val="0"/>
          <w:kern w:val="2"/>
          <w:sz w:val="28"/>
          <w:szCs w:val="28"/>
          <w:highlight w:val="none"/>
          <w:u w:val="single" w:color="000000"/>
          <w:shd w:val="clear" w:fill="FFFFFF"/>
          <w:lang w:val="en-US" w:eastAsia="zh-CN" w:bidi="ar-SA"/>
        </w:rPr>
        <w:t>惠州市惠东县惠东大道1212号4楼</w:t>
      </w:r>
      <w:r>
        <w:rPr>
          <w:rFonts w:hint="eastAsia" w:ascii="宋体" w:hAnsi="宋体" w:eastAsia="宋体" w:cs="宋体"/>
          <w:color w:val="auto"/>
          <w:kern w:val="2"/>
          <w:sz w:val="28"/>
          <w:szCs w:val="28"/>
          <w:highlight w:val="none"/>
          <w:u w:color="000000"/>
          <w:lang w:val="en-US" w:eastAsia="zh-CN" w:bidi="ar-SA"/>
        </w:rPr>
        <w:t>。</w:t>
      </w:r>
    </w:p>
    <w:p w14:paraId="2EE2B127">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4、逾期送达或未密封将予以拒收。</w:t>
      </w:r>
    </w:p>
    <w:p w14:paraId="19D5DDA1">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六、发布公告的媒介</w:t>
      </w:r>
    </w:p>
    <w:p w14:paraId="5B354A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本次</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采购公告</w:t>
      </w:r>
      <w:r>
        <w:rPr>
          <w:rFonts w:hint="eastAsia" w:ascii="宋体" w:hAnsi="宋体" w:eastAsia="宋体" w:cs="宋体"/>
          <w:color w:val="auto"/>
          <w:kern w:val="2"/>
          <w:sz w:val="28"/>
          <w:szCs w:val="28"/>
          <w:highlight w:val="none"/>
          <w:u w:color="000000"/>
          <w:lang w:val="en-US" w:eastAsia="zh-CN" w:bidi="ar-SA"/>
        </w:rPr>
        <w:t>在http://www.gdltdjs.com上发布。</w:t>
      </w:r>
    </w:p>
    <w:p w14:paraId="5E6A60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55AB5D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5E7DC3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38815E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惠州市惠东县惠东大道1212号4楼</w:t>
      </w:r>
    </w:p>
    <w:p w14:paraId="20C593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0752-8115336</w:t>
      </w:r>
    </w:p>
    <w:p w14:paraId="63949C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6A47E3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6416AF3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惠州仲恺高新区陈江街道仲恺五路89号惠众公馆商业楼1栋8楼808、810号（集群注册）</w:t>
      </w:r>
    </w:p>
    <w:p w14:paraId="50AC30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18927390540</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br w:type="textWrapping"/>
      </w:r>
    </w:p>
    <w:p w14:paraId="2E4415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E484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6B1C2DC2">
      <w:pPr>
        <w:widowControl w:val="0"/>
        <w:numPr>
          <w:ilvl w:val="0"/>
          <w:numId w:val="0"/>
        </w:numPr>
        <w:wordWrap w:val="0"/>
        <w:spacing w:line="440" w:lineRule="exact"/>
        <w:jc w:val="right"/>
        <w:outlineLvl w:val="9"/>
        <w:rPr>
          <w:rFonts w:hint="eastAsia" w:ascii="宋体" w:hAnsi="宋体" w:eastAsia="宋体" w:cs="宋体"/>
          <w:b/>
          <w:bCs/>
          <w:color w:val="auto"/>
          <w:kern w:val="2"/>
          <w:sz w:val="32"/>
          <w:szCs w:val="32"/>
          <w:highlight w:val="none"/>
          <w:u w:color="000000"/>
          <w:lang w:val="en-US" w:eastAsia="zh-CN" w:bidi="ar-SA"/>
        </w:rPr>
      </w:pPr>
      <w:r>
        <w:rPr>
          <w:rFonts w:hint="eastAsia" w:ascii="宋体" w:hAnsi="宋体" w:eastAsia="宋体" w:cs="宋体"/>
          <w:b w:val="0"/>
          <w:bCs w:val="0"/>
          <w:i w:val="0"/>
          <w:iCs w:val="0"/>
          <w:caps w:val="0"/>
          <w:color w:val="auto"/>
          <w:spacing w:val="0"/>
          <w:kern w:val="0"/>
          <w:sz w:val="28"/>
          <w:szCs w:val="28"/>
          <w:u w:val="none" w:color="000000"/>
          <w:shd w:val="clear" w:fill="FFFFFF"/>
          <w:lang w:val="en-US" w:eastAsia="zh-CN" w:bidi="ar"/>
        </w:rPr>
        <w:t>公告发布时间：2025年2月11日</w:t>
      </w:r>
    </w:p>
    <w:p w14:paraId="687C0335">
      <w:pPr>
        <w:widowControl/>
        <w:jc w:val="left"/>
        <w:rPr>
          <w:rFonts w:hint="eastAsia" w:ascii="宋体" w:hAnsi="宋体" w:eastAsia="宋体" w:cs="宋体"/>
          <w:b/>
          <w:bCs/>
          <w:color w:val="auto"/>
          <w:kern w:val="0"/>
          <w:sz w:val="32"/>
          <w:szCs w:val="32"/>
          <w:highlight w:val="none"/>
          <w:lang w:val="zh-TW" w:eastAsia="zh-TW"/>
        </w:rPr>
      </w:pPr>
      <w:bookmarkStart w:id="1" w:name="_Toc21380"/>
      <w:bookmarkStart w:id="2" w:name="_Toc392345907"/>
      <w:bookmarkStart w:id="3" w:name="_Toc152042304"/>
      <w:bookmarkStart w:id="4" w:name="_Toc7164"/>
      <w:bookmarkStart w:id="5" w:name="_Toc152045528"/>
      <w:bookmarkStart w:id="6" w:name="_Toc229646710"/>
      <w:bookmarkStart w:id="7" w:name="_Toc16761"/>
      <w:bookmarkStart w:id="8" w:name="_Toc500491903"/>
      <w:bookmarkStart w:id="9" w:name="_Toc144974496"/>
      <w:bookmarkStart w:id="10" w:name="_Toc16780"/>
      <w:bookmarkStart w:id="11" w:name="_Toc31806"/>
      <w:r>
        <w:rPr>
          <w:rFonts w:hint="eastAsia" w:ascii="宋体" w:hAnsi="宋体" w:eastAsia="宋体" w:cs="宋体"/>
          <w:b/>
          <w:bCs/>
          <w:color w:val="auto"/>
          <w:kern w:val="0"/>
          <w:sz w:val="32"/>
          <w:szCs w:val="32"/>
          <w:highlight w:val="none"/>
          <w:lang w:val="zh-TW" w:eastAsia="zh-TW"/>
        </w:rPr>
        <w:br w:type="page"/>
      </w:r>
    </w:p>
    <w:p w14:paraId="1FF202B8">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kern w:val="0"/>
          <w:sz w:val="28"/>
          <w:szCs w:val="28"/>
          <w:highlight w:val="none"/>
          <w:lang w:eastAsia="zh-CN"/>
        </w:rPr>
      </w:pPr>
      <w:bookmarkStart w:id="12" w:name="_Toc789"/>
      <w:r>
        <w:rPr>
          <w:rFonts w:hint="eastAsia" w:ascii="宋体" w:hAnsi="宋体" w:eastAsia="宋体" w:cs="宋体"/>
          <w:b/>
          <w:bCs/>
          <w:color w:val="auto"/>
          <w:kern w:val="0"/>
          <w:sz w:val="32"/>
          <w:szCs w:val="32"/>
          <w:highlight w:val="none"/>
          <w:lang w:val="zh-TW" w:eastAsia="zh-TW"/>
        </w:rPr>
        <w:t>第</w:t>
      </w:r>
      <w:r>
        <w:rPr>
          <w:rFonts w:hint="eastAsia" w:ascii="宋体" w:hAnsi="宋体" w:eastAsia="宋体" w:cs="宋体"/>
          <w:b/>
          <w:bCs/>
          <w:color w:val="auto"/>
          <w:kern w:val="0"/>
          <w:sz w:val="32"/>
          <w:szCs w:val="32"/>
          <w:highlight w:val="none"/>
          <w:lang w:eastAsia="zh-CN"/>
        </w:rPr>
        <w:t>二</w:t>
      </w:r>
      <w:r>
        <w:rPr>
          <w:rFonts w:hint="eastAsia" w:ascii="宋体" w:hAnsi="宋体" w:eastAsia="宋体" w:cs="宋体"/>
          <w:b/>
          <w:bCs/>
          <w:color w:val="auto"/>
          <w:kern w:val="0"/>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eastAsia="zh-CN"/>
        </w:rPr>
        <w:t>参选人须知</w:t>
      </w:r>
      <w:bookmarkEnd w:id="12"/>
    </w:p>
    <w:tbl>
      <w:tblPr>
        <w:tblStyle w:val="8"/>
        <w:tblW w:w="48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1933"/>
        <w:gridCol w:w="5941"/>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630068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序号</w:t>
            </w:r>
          </w:p>
        </w:tc>
        <w:tc>
          <w:tcPr>
            <w:tcW w:w="1122" w:type="pct"/>
            <w:noWrap w:val="0"/>
            <w:vAlign w:val="center"/>
          </w:tcPr>
          <w:p w14:paraId="62532E6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条款名称</w:t>
            </w:r>
          </w:p>
        </w:tc>
        <w:tc>
          <w:tcPr>
            <w:tcW w:w="3446" w:type="pct"/>
            <w:noWrap w:val="0"/>
            <w:vAlign w:val="center"/>
          </w:tcPr>
          <w:p w14:paraId="254610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257353C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1</w:t>
            </w:r>
          </w:p>
        </w:tc>
        <w:tc>
          <w:tcPr>
            <w:tcW w:w="1122" w:type="pct"/>
            <w:noWrap w:val="0"/>
            <w:vAlign w:val="center"/>
          </w:tcPr>
          <w:p w14:paraId="5C95A5C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人</w:t>
            </w:r>
          </w:p>
        </w:tc>
        <w:tc>
          <w:tcPr>
            <w:tcW w:w="3446" w:type="pct"/>
            <w:noWrap w:val="0"/>
            <w:vAlign w:val="center"/>
          </w:tcPr>
          <w:p w14:paraId="292AA24A">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w:t>
            </w:r>
            <w:r>
              <w:rPr>
                <w:rFonts w:hint="eastAsia" w:ascii="宋体" w:hAnsi="宋体" w:eastAsia="宋体" w:cs="宋体"/>
                <w:color w:val="auto"/>
                <w:kern w:val="0"/>
                <w:sz w:val="28"/>
                <w:szCs w:val="28"/>
                <w:highlight w:val="none"/>
                <w:lang w:val="en-US" w:eastAsia="zh-CN"/>
              </w:rPr>
              <w:t>广东路通达建设工程有限公司</w:t>
            </w:r>
          </w:p>
          <w:p w14:paraId="6DB47199">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地址：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惠州市惠东县惠东大道1212号4楼</w:t>
            </w:r>
          </w:p>
          <w:p w14:paraId="13229423">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电话：</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0F60735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2</w:t>
            </w:r>
          </w:p>
        </w:tc>
        <w:tc>
          <w:tcPr>
            <w:tcW w:w="1122" w:type="pct"/>
            <w:noWrap w:val="0"/>
            <w:vAlign w:val="center"/>
          </w:tcPr>
          <w:p w14:paraId="51E7A56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项目名称</w:t>
            </w:r>
          </w:p>
        </w:tc>
        <w:tc>
          <w:tcPr>
            <w:tcW w:w="3446" w:type="pct"/>
            <w:noWrap w:val="0"/>
            <w:vAlign w:val="center"/>
          </w:tcPr>
          <w:p w14:paraId="324709B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惠东县水质提升工程项目（黄埠镇盐洲片区）（编号01号）施工分包（桩基、装修装饰工程）</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703F2D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w:t>
            </w:r>
          </w:p>
        </w:tc>
        <w:tc>
          <w:tcPr>
            <w:tcW w:w="1122" w:type="pct"/>
            <w:noWrap w:val="0"/>
            <w:vAlign w:val="center"/>
          </w:tcPr>
          <w:p w14:paraId="4BA5E5A9">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内容</w:t>
            </w:r>
          </w:p>
        </w:tc>
        <w:tc>
          <w:tcPr>
            <w:tcW w:w="3446" w:type="pct"/>
            <w:noWrap w:val="0"/>
            <w:vAlign w:val="center"/>
          </w:tcPr>
          <w:p w14:paraId="5BC52958">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color w:val="auto"/>
                <w:kern w:val="0"/>
                <w:sz w:val="28"/>
                <w:szCs w:val="28"/>
                <w:highlight w:val="none"/>
                <w:u w:val="none"/>
                <w:lang w:val="en-US" w:eastAsia="zh-CN"/>
              </w:rPr>
              <w:t>承包人现场施工所需的施工分包（桩基、装修装饰工程）</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91616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w:t>
            </w:r>
          </w:p>
        </w:tc>
        <w:tc>
          <w:tcPr>
            <w:tcW w:w="1122" w:type="pct"/>
            <w:noWrap w:val="0"/>
            <w:vAlign w:val="center"/>
          </w:tcPr>
          <w:p w14:paraId="7F6125F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工</w:t>
            </w:r>
            <w:r>
              <w:rPr>
                <w:rFonts w:hint="eastAsia" w:ascii="宋体" w:hAnsi="宋体" w:eastAsia="宋体" w:cs="宋体"/>
                <w:color w:val="auto"/>
                <w:kern w:val="0"/>
                <w:sz w:val="28"/>
                <w:szCs w:val="28"/>
                <w:highlight w:val="none"/>
                <w:lang w:eastAsia="en-US"/>
              </w:rPr>
              <w:t>期</w:t>
            </w:r>
          </w:p>
        </w:tc>
        <w:tc>
          <w:tcPr>
            <w:tcW w:w="3446" w:type="pct"/>
            <w:noWrap w:val="0"/>
            <w:vAlign w:val="center"/>
          </w:tcPr>
          <w:p w14:paraId="55BC141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202</w:t>
            </w:r>
            <w:r>
              <w:rPr>
                <w:rFonts w:hint="eastAsia" w:ascii="宋体" w:hAnsi="宋体" w:eastAsia="宋体" w:cs="宋体"/>
                <w:color w:val="auto"/>
                <w:kern w:val="0"/>
                <w:sz w:val="28"/>
                <w:szCs w:val="28"/>
                <w:highlight w:val="none"/>
                <w:u w:val="none"/>
                <w:lang w:val="en-US" w:eastAsia="zh-CN"/>
              </w:rPr>
              <w:t>5</w:t>
            </w:r>
            <w:r>
              <w:rPr>
                <w:rFonts w:hint="eastAsia" w:ascii="宋体" w:hAnsi="宋体" w:eastAsia="宋体" w:cs="宋体"/>
                <w:color w:val="auto"/>
                <w:kern w:val="0"/>
                <w:sz w:val="28"/>
                <w:szCs w:val="28"/>
                <w:highlight w:val="none"/>
                <w:u w:val="none"/>
                <w:lang w:eastAsia="zh-CN"/>
              </w:rPr>
              <w:t>年</w:t>
            </w:r>
            <w:r>
              <w:rPr>
                <w:rFonts w:hint="eastAsia" w:ascii="宋体" w:hAnsi="宋体" w:eastAsia="宋体" w:cs="宋体"/>
                <w:color w:val="auto"/>
                <w:kern w:val="0"/>
                <w:sz w:val="28"/>
                <w:szCs w:val="28"/>
                <w:highlight w:val="none"/>
                <w:u w:val="none"/>
                <w:lang w:val="en-US" w:eastAsia="zh-CN"/>
              </w:rPr>
              <w:t>2月</w:t>
            </w:r>
            <w:r>
              <w:rPr>
                <w:rFonts w:hint="eastAsia" w:ascii="宋体" w:hAnsi="宋体" w:eastAsia="宋体" w:cs="宋体"/>
                <w:color w:val="auto"/>
                <w:kern w:val="0"/>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88309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w:t>
            </w:r>
          </w:p>
        </w:tc>
        <w:tc>
          <w:tcPr>
            <w:tcW w:w="1122" w:type="pct"/>
            <w:noWrap w:val="0"/>
            <w:vAlign w:val="center"/>
          </w:tcPr>
          <w:p w14:paraId="3BB3BE6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质量要求</w:t>
            </w:r>
          </w:p>
        </w:tc>
        <w:tc>
          <w:tcPr>
            <w:tcW w:w="3446" w:type="pct"/>
            <w:noWrap w:val="0"/>
            <w:vAlign w:val="center"/>
          </w:tcPr>
          <w:p w14:paraId="68D6526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en-US"/>
              </w:rPr>
            </w:pPr>
            <w:r>
              <w:rPr>
                <w:rFonts w:hint="eastAsia" w:ascii="宋体" w:hAnsi="宋体" w:eastAsia="宋体" w:cs="宋体"/>
                <w:color w:val="auto"/>
                <w:kern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5" w:hRule="atLeast"/>
          <w:jc w:val="center"/>
        </w:trPr>
        <w:tc>
          <w:tcPr>
            <w:tcW w:w="430" w:type="pct"/>
            <w:noWrap w:val="0"/>
            <w:vAlign w:val="center"/>
          </w:tcPr>
          <w:p w14:paraId="30E657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6</w:t>
            </w:r>
          </w:p>
        </w:tc>
        <w:tc>
          <w:tcPr>
            <w:tcW w:w="1122" w:type="pct"/>
            <w:noWrap w:val="0"/>
            <w:vAlign w:val="center"/>
          </w:tcPr>
          <w:p w14:paraId="16ADFE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参选人</w:t>
            </w:r>
          </w:p>
          <w:p w14:paraId="22E15A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资格条件</w:t>
            </w:r>
          </w:p>
        </w:tc>
        <w:tc>
          <w:tcPr>
            <w:tcW w:w="3446" w:type="pct"/>
            <w:noWrap w:val="0"/>
            <w:vAlign w:val="center"/>
          </w:tcPr>
          <w:p w14:paraId="6B7D56D3">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lang w:eastAsia="zh-CN"/>
              </w:rPr>
              <w:t>在中华人民共和国境内注册的法人或其他组织，</w:t>
            </w:r>
            <w:r>
              <w:rPr>
                <w:rFonts w:hint="eastAsia" w:ascii="宋体" w:hAnsi="宋体" w:eastAsia="宋体" w:cs="宋体"/>
                <w:color w:val="auto"/>
                <w:kern w:val="0"/>
                <w:sz w:val="28"/>
                <w:szCs w:val="28"/>
                <w:highlight w:val="none"/>
                <w:lang w:val="en-US" w:eastAsia="zh-CN"/>
              </w:rPr>
              <w:t>参选</w:t>
            </w:r>
            <w:r>
              <w:rPr>
                <w:rFonts w:hint="eastAsia" w:ascii="宋体" w:hAnsi="宋体" w:eastAsia="宋体" w:cs="宋体"/>
                <w:color w:val="auto"/>
                <w:kern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kern w:val="0"/>
                <w:sz w:val="28"/>
                <w:szCs w:val="28"/>
                <w:highlight w:val="none"/>
                <w:lang w:val="en-US" w:eastAsia="zh-CN"/>
              </w:rPr>
              <w:t>。</w:t>
            </w:r>
          </w:p>
          <w:p w14:paraId="20C277FA">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5074AAC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7</w:t>
            </w:r>
          </w:p>
        </w:tc>
        <w:tc>
          <w:tcPr>
            <w:tcW w:w="1122" w:type="pct"/>
            <w:noWrap w:val="0"/>
            <w:vAlign w:val="center"/>
          </w:tcPr>
          <w:p w14:paraId="049E566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是否接受</w:t>
            </w:r>
          </w:p>
          <w:p w14:paraId="6091980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联合体</w:t>
            </w:r>
          </w:p>
        </w:tc>
        <w:tc>
          <w:tcPr>
            <w:tcW w:w="3446" w:type="pct"/>
            <w:noWrap w:val="0"/>
            <w:vAlign w:val="center"/>
          </w:tcPr>
          <w:p w14:paraId="2E849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□接受，但联合体所有成员不得超过2家。</w:t>
            </w:r>
          </w:p>
          <w:p w14:paraId="0599C80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430" w:type="pct"/>
            <w:noWrap w:val="0"/>
            <w:vAlign w:val="center"/>
          </w:tcPr>
          <w:p w14:paraId="5AB14C5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8</w:t>
            </w:r>
          </w:p>
        </w:tc>
        <w:tc>
          <w:tcPr>
            <w:tcW w:w="1122" w:type="pct"/>
            <w:noWrap w:val="0"/>
            <w:vAlign w:val="center"/>
          </w:tcPr>
          <w:p w14:paraId="53867A5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踏勘现场</w:t>
            </w:r>
          </w:p>
        </w:tc>
        <w:tc>
          <w:tcPr>
            <w:tcW w:w="3446" w:type="pct"/>
            <w:noWrap w:val="0"/>
            <w:vAlign w:val="center"/>
          </w:tcPr>
          <w:p w14:paraId="7BDB796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□组织</w:t>
            </w:r>
          </w:p>
          <w:p w14:paraId="7EA95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☑不组织</w:t>
            </w:r>
          </w:p>
          <w:p w14:paraId="29262D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2FFD3B8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9</w:t>
            </w:r>
          </w:p>
        </w:tc>
        <w:tc>
          <w:tcPr>
            <w:tcW w:w="1122" w:type="pct"/>
            <w:noWrap w:val="0"/>
            <w:vAlign w:val="center"/>
          </w:tcPr>
          <w:p w14:paraId="6BE6E1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偏离</w:t>
            </w:r>
          </w:p>
        </w:tc>
        <w:tc>
          <w:tcPr>
            <w:tcW w:w="3446" w:type="pct"/>
            <w:noWrap w:val="0"/>
            <w:vAlign w:val="center"/>
          </w:tcPr>
          <w:p w14:paraId="0D9E42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☑不允许</w:t>
            </w:r>
          </w:p>
          <w:p w14:paraId="382B6D8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w:t>
            </w:r>
          </w:p>
          <w:p w14:paraId="76AA432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BB9F91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10</w:t>
            </w:r>
          </w:p>
        </w:tc>
        <w:tc>
          <w:tcPr>
            <w:tcW w:w="1122" w:type="pct"/>
            <w:noWrap w:val="0"/>
            <w:vAlign w:val="center"/>
          </w:tcPr>
          <w:p w14:paraId="2886592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截止时间</w:t>
            </w:r>
          </w:p>
        </w:tc>
        <w:tc>
          <w:tcPr>
            <w:tcW w:w="3446" w:type="pct"/>
            <w:noWrap w:val="0"/>
            <w:vAlign w:val="center"/>
          </w:tcPr>
          <w:p w14:paraId="3EF7737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en-US"/>
              </w:rPr>
            </w:pPr>
            <w:r>
              <w:rPr>
                <w:rFonts w:hint="eastAsia" w:ascii="宋体" w:hAnsi="宋体" w:eastAsia="宋体" w:cs="宋体"/>
                <w:color w:val="auto"/>
                <w:kern w:val="0"/>
                <w:sz w:val="28"/>
                <w:szCs w:val="28"/>
                <w:highlight w:val="none"/>
                <w:u w:val="single"/>
                <w:lang w:val="en-US" w:eastAsia="zh-CN"/>
              </w:rPr>
              <w:t>2025年2月17日12:00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52431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11</w:t>
            </w:r>
          </w:p>
        </w:tc>
        <w:tc>
          <w:tcPr>
            <w:tcW w:w="1122" w:type="pct"/>
            <w:noWrap w:val="0"/>
            <w:vAlign w:val="center"/>
          </w:tcPr>
          <w:p w14:paraId="6D562ED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保证金</w:t>
            </w:r>
          </w:p>
        </w:tc>
        <w:tc>
          <w:tcPr>
            <w:tcW w:w="3446" w:type="pct"/>
            <w:noWrap w:val="0"/>
            <w:vAlign w:val="center"/>
          </w:tcPr>
          <w:p w14:paraId="7ED2390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6FC2452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12</w:t>
            </w:r>
          </w:p>
        </w:tc>
        <w:tc>
          <w:tcPr>
            <w:tcW w:w="1122" w:type="pct"/>
            <w:noWrap w:val="0"/>
            <w:vAlign w:val="center"/>
          </w:tcPr>
          <w:p w14:paraId="1313524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签字或盖章</w:t>
            </w:r>
          </w:p>
          <w:p w14:paraId="710F419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具体要求</w:t>
            </w:r>
          </w:p>
        </w:tc>
        <w:tc>
          <w:tcPr>
            <w:tcW w:w="3446" w:type="pct"/>
            <w:noWrap w:val="0"/>
            <w:vAlign w:val="center"/>
          </w:tcPr>
          <w:p w14:paraId="5621013B">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响应文件应用不褪色的墨水书写或打印，</w:t>
            </w:r>
            <w:r>
              <w:rPr>
                <w:rFonts w:hint="eastAsia" w:ascii="宋体" w:hAnsi="宋体" w:eastAsia="宋体" w:cs="宋体"/>
                <w:color w:val="auto"/>
                <w:kern w:val="0"/>
                <w:sz w:val="28"/>
                <w:szCs w:val="28"/>
                <w:highlight w:val="none"/>
                <w:lang w:val="en-US" w:eastAsia="zh-CN"/>
              </w:rPr>
              <w:t>并</w:t>
            </w:r>
            <w:r>
              <w:rPr>
                <w:rFonts w:hint="eastAsia" w:ascii="宋体" w:hAnsi="宋体" w:eastAsia="宋体" w:cs="宋体"/>
                <w:b w:val="0"/>
                <w:bCs w:val="0"/>
                <w:color w:val="auto"/>
                <w:kern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7DE7274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13</w:t>
            </w:r>
          </w:p>
        </w:tc>
        <w:tc>
          <w:tcPr>
            <w:tcW w:w="1122" w:type="pct"/>
            <w:noWrap w:val="0"/>
            <w:vAlign w:val="center"/>
          </w:tcPr>
          <w:p w14:paraId="531A01B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文件</w:t>
            </w:r>
          </w:p>
          <w:p w14:paraId="752AA4E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份数</w:t>
            </w:r>
          </w:p>
        </w:tc>
        <w:tc>
          <w:tcPr>
            <w:tcW w:w="3446" w:type="pct"/>
            <w:noWrap w:val="0"/>
            <w:vAlign w:val="center"/>
          </w:tcPr>
          <w:p w14:paraId="0614FB3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一式</w:t>
            </w: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份，密封提交</w:t>
            </w:r>
            <w:r>
              <w:rPr>
                <w:rFonts w:hint="eastAsia" w:ascii="宋体" w:hAnsi="宋体" w:eastAsia="宋体" w:cs="宋体"/>
                <w:color w:val="auto"/>
                <w:kern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8ECB5F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14</w:t>
            </w:r>
          </w:p>
        </w:tc>
        <w:tc>
          <w:tcPr>
            <w:tcW w:w="1122" w:type="pct"/>
            <w:noWrap w:val="0"/>
            <w:vAlign w:val="center"/>
          </w:tcPr>
          <w:p w14:paraId="70F6C3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装订要求</w:t>
            </w:r>
          </w:p>
        </w:tc>
        <w:tc>
          <w:tcPr>
            <w:tcW w:w="3446" w:type="pct"/>
            <w:noWrap w:val="0"/>
            <w:vAlign w:val="center"/>
          </w:tcPr>
          <w:p w14:paraId="7091A8D9">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noWrap w:val="0"/>
            <w:vAlign w:val="center"/>
          </w:tcPr>
          <w:p w14:paraId="16F67E1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15</w:t>
            </w:r>
          </w:p>
        </w:tc>
        <w:tc>
          <w:tcPr>
            <w:tcW w:w="1122" w:type="pct"/>
            <w:noWrap w:val="0"/>
            <w:vAlign w:val="center"/>
          </w:tcPr>
          <w:p w14:paraId="52C31B5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封套上写明</w:t>
            </w:r>
          </w:p>
        </w:tc>
        <w:tc>
          <w:tcPr>
            <w:tcW w:w="3446" w:type="pct"/>
            <w:noWrap w:val="0"/>
            <w:vAlign w:val="center"/>
          </w:tcPr>
          <w:p w14:paraId="1588875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采购人名称：</w:t>
            </w:r>
            <w:r>
              <w:rPr>
                <w:rFonts w:hint="eastAsia" w:ascii="宋体" w:hAnsi="宋体" w:eastAsia="宋体" w:cs="宋体"/>
                <w:color w:val="auto"/>
                <w:kern w:val="0"/>
                <w:sz w:val="28"/>
                <w:szCs w:val="28"/>
                <w:highlight w:val="none"/>
                <w:lang w:val="en-US" w:eastAsia="zh-CN"/>
              </w:rPr>
              <w:t>广东路通达建设工程有限公司</w:t>
            </w:r>
          </w:p>
          <w:p w14:paraId="6754D96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zh-CN"/>
              </w:rPr>
            </w:pPr>
            <w:r>
              <w:rPr>
                <w:rFonts w:hint="eastAsia" w:ascii="宋体" w:hAnsi="宋体" w:eastAsia="宋体" w:cs="宋体"/>
                <w:color w:val="auto"/>
                <w:kern w:val="0"/>
                <w:sz w:val="28"/>
                <w:szCs w:val="28"/>
                <w:highlight w:val="none"/>
                <w:lang w:eastAsia="zh-CN"/>
              </w:rPr>
              <w:t>送达响应文件地址：</w:t>
            </w:r>
            <w:r>
              <w:rPr>
                <w:rFonts w:hint="eastAsia" w:ascii="宋体" w:hAnsi="宋体" w:eastAsia="宋体" w:cs="宋体"/>
                <w:color w:val="auto"/>
                <w:kern w:val="0"/>
                <w:sz w:val="28"/>
                <w:szCs w:val="28"/>
                <w:highlight w:val="none"/>
                <w:u w:val="single"/>
                <w:lang w:val="en-US" w:eastAsia="zh-CN"/>
              </w:rPr>
              <w:t>惠州市惠东县惠东大道1212号4楼</w:t>
            </w:r>
          </w:p>
          <w:p w14:paraId="75C1DC0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eastAsia="zh-CN"/>
              </w:rPr>
            </w:pPr>
            <w:r>
              <w:rPr>
                <w:rFonts w:hint="eastAsia" w:ascii="宋体" w:hAnsi="宋体" w:eastAsia="宋体" w:cs="宋体"/>
                <w:color w:val="auto"/>
                <w:kern w:val="0"/>
                <w:sz w:val="28"/>
                <w:szCs w:val="28"/>
                <w:highlight w:val="none"/>
                <w:lang w:eastAsia="zh-CN"/>
              </w:rPr>
              <w:t>响应人名称：</w:t>
            </w:r>
            <w:r>
              <w:rPr>
                <w:rFonts w:hint="eastAsia" w:ascii="宋体" w:hAnsi="宋体" w:eastAsia="宋体" w:cs="宋体"/>
                <w:color w:val="auto"/>
                <w:kern w:val="0"/>
                <w:sz w:val="28"/>
                <w:szCs w:val="28"/>
                <w:highlight w:val="none"/>
                <w:u w:val="single"/>
                <w:lang w:eastAsia="zh-CN"/>
              </w:rPr>
              <w:t xml:space="preserve">    </w:t>
            </w:r>
          </w:p>
          <w:p w14:paraId="22161C7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响应人地址：</w:t>
            </w:r>
            <w:r>
              <w:rPr>
                <w:rFonts w:hint="eastAsia" w:ascii="宋体" w:hAnsi="宋体" w:eastAsia="宋体" w:cs="宋体"/>
                <w:color w:val="auto"/>
                <w:kern w:val="0"/>
                <w:sz w:val="28"/>
                <w:szCs w:val="28"/>
                <w:highlight w:val="none"/>
                <w:u w:val="single"/>
                <w:lang w:eastAsia="zh-CN"/>
              </w:rPr>
              <w:t xml:space="preserve">    </w:t>
            </w:r>
          </w:p>
          <w:p w14:paraId="2CC54F84">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响应项目名称：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none"/>
                <w:lang w:eastAsia="zh-CN"/>
              </w:rPr>
              <w:t>竞价</w:t>
            </w:r>
            <w:r>
              <w:rPr>
                <w:rFonts w:hint="eastAsia" w:ascii="宋体" w:hAnsi="宋体" w:eastAsia="宋体" w:cs="宋体"/>
                <w:color w:val="auto"/>
                <w:kern w:val="0"/>
                <w:sz w:val="28"/>
                <w:szCs w:val="28"/>
                <w:highlight w:val="none"/>
                <w:lang w:eastAsia="zh-CN"/>
              </w:rPr>
              <w:t>文件</w:t>
            </w:r>
          </w:p>
          <w:p w14:paraId="2F9233C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在</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lang w:eastAsia="zh-CN"/>
              </w:rPr>
              <w:t>年</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u w:val="single"/>
                <w:lang w:val="en-US" w:eastAsia="zh-CN"/>
              </w:rPr>
              <w:t xml:space="preserve">  </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kern w:val="0"/>
                <w:sz w:val="28"/>
                <w:szCs w:val="28"/>
                <w:highlight w:val="none"/>
                <w:lang w:eastAsia="zh-CN"/>
              </w:rPr>
              <w:t>前不得开启</w:t>
            </w:r>
          </w:p>
          <w:p w14:paraId="4F0CC82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b/>
                <w:color w:val="auto"/>
                <w:kern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3FE669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16</w:t>
            </w:r>
          </w:p>
        </w:tc>
        <w:tc>
          <w:tcPr>
            <w:tcW w:w="1122" w:type="pct"/>
            <w:noWrap w:val="0"/>
            <w:vAlign w:val="center"/>
          </w:tcPr>
          <w:p w14:paraId="4B99D71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递交</w:t>
            </w:r>
            <w:r>
              <w:rPr>
                <w:rFonts w:hint="eastAsia" w:ascii="宋体" w:hAnsi="宋体" w:eastAsia="宋体" w:cs="宋体"/>
                <w:color w:val="auto"/>
                <w:kern w:val="0"/>
                <w:sz w:val="28"/>
                <w:szCs w:val="28"/>
                <w:highlight w:val="none"/>
                <w:lang w:eastAsia="zh-CN"/>
              </w:rPr>
              <w:t>响应文件</w:t>
            </w:r>
            <w:r>
              <w:rPr>
                <w:rFonts w:hint="eastAsia" w:ascii="宋体" w:hAnsi="宋体" w:eastAsia="宋体" w:cs="宋体"/>
                <w:color w:val="auto"/>
                <w:kern w:val="0"/>
                <w:sz w:val="28"/>
                <w:szCs w:val="28"/>
                <w:highlight w:val="none"/>
                <w:lang w:eastAsia="en-US"/>
              </w:rPr>
              <w:t>地点</w:t>
            </w:r>
          </w:p>
        </w:tc>
        <w:tc>
          <w:tcPr>
            <w:tcW w:w="3446" w:type="pct"/>
            <w:noWrap w:val="0"/>
            <w:vAlign w:val="center"/>
          </w:tcPr>
          <w:p w14:paraId="03264EC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color w:val="auto"/>
                <w:kern w:val="0"/>
                <w:sz w:val="28"/>
                <w:szCs w:val="28"/>
                <w:highlight w:val="none"/>
                <w:lang w:eastAsia="zh-CN"/>
              </w:rPr>
            </w:pPr>
            <w:r>
              <w:rPr>
                <w:rFonts w:hint="eastAsia" w:ascii="宋体" w:hAnsi="宋体" w:eastAsia="宋体" w:cs="宋体"/>
                <w:bCs/>
                <w:color w:val="auto"/>
                <w:kern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8EF1B9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17</w:t>
            </w:r>
          </w:p>
        </w:tc>
        <w:tc>
          <w:tcPr>
            <w:tcW w:w="1122" w:type="pct"/>
            <w:noWrap w:val="0"/>
            <w:vAlign w:val="center"/>
          </w:tcPr>
          <w:p w14:paraId="441479A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响应文件开启时间和地点</w:t>
            </w:r>
          </w:p>
        </w:tc>
        <w:tc>
          <w:tcPr>
            <w:tcW w:w="3446" w:type="pct"/>
            <w:noWrap w:val="0"/>
            <w:vAlign w:val="center"/>
          </w:tcPr>
          <w:p w14:paraId="1155EEB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开启时间：同响应截止时间</w:t>
            </w:r>
          </w:p>
          <w:p w14:paraId="0E5BA8E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430" w:type="pct"/>
            <w:noWrap w:val="0"/>
            <w:vAlign w:val="center"/>
          </w:tcPr>
          <w:p w14:paraId="6CF61A06">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18</w:t>
            </w:r>
          </w:p>
        </w:tc>
        <w:tc>
          <w:tcPr>
            <w:tcW w:w="1122" w:type="pct"/>
            <w:noWrap w:val="0"/>
            <w:vAlign w:val="center"/>
          </w:tcPr>
          <w:p w14:paraId="1021E1E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竞价</w:t>
            </w:r>
            <w:r>
              <w:rPr>
                <w:rFonts w:hint="eastAsia" w:ascii="宋体" w:hAnsi="宋体" w:eastAsia="宋体" w:cs="宋体"/>
                <w:color w:val="auto"/>
                <w:kern w:val="0"/>
                <w:sz w:val="28"/>
                <w:szCs w:val="28"/>
                <w:highlight w:val="none"/>
                <w:lang w:eastAsia="en-US"/>
              </w:rPr>
              <w:t>程序</w:t>
            </w:r>
          </w:p>
        </w:tc>
        <w:tc>
          <w:tcPr>
            <w:tcW w:w="3446" w:type="pct"/>
            <w:noWrap w:val="0"/>
            <w:vAlign w:val="center"/>
          </w:tcPr>
          <w:p w14:paraId="64F46C93">
            <w:pPr>
              <w:keepNext w:val="0"/>
              <w:keepLines w:val="0"/>
              <w:pageBreakBefore w:val="0"/>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（1）核对原件：无；</w:t>
            </w:r>
          </w:p>
          <w:p w14:paraId="66C575A8">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bCs/>
                <w:color w:val="auto"/>
                <w:kern w:val="0"/>
                <w:sz w:val="28"/>
                <w:szCs w:val="28"/>
                <w:highlight w:val="none"/>
                <w:lang w:eastAsia="zh-CN"/>
              </w:rPr>
              <w:t>（2）</w:t>
            </w:r>
            <w:r>
              <w:rPr>
                <w:rFonts w:hint="eastAsia" w:ascii="宋体" w:hAnsi="宋体" w:eastAsia="宋体" w:cs="宋体"/>
                <w:color w:val="auto"/>
                <w:kern w:val="0"/>
                <w:sz w:val="28"/>
                <w:szCs w:val="28"/>
                <w:highlight w:val="none"/>
                <w:lang w:eastAsia="zh-CN"/>
              </w:rPr>
              <w:t>开启顺序：按响应人递交响应文件时间的</w:t>
            </w:r>
            <w:r>
              <w:rPr>
                <w:rFonts w:hint="eastAsia" w:ascii="宋体" w:hAnsi="宋体" w:eastAsia="宋体" w:cs="宋体"/>
                <w:color w:val="auto"/>
                <w:kern w:val="0"/>
                <w:sz w:val="28"/>
                <w:szCs w:val="28"/>
                <w:highlight w:val="none"/>
                <w:lang w:val="en-US" w:eastAsia="zh-CN"/>
              </w:rPr>
              <w:t>顺序</w:t>
            </w:r>
            <w:r>
              <w:rPr>
                <w:rFonts w:hint="eastAsia" w:ascii="宋体" w:hAnsi="宋体" w:eastAsia="宋体" w:cs="宋体"/>
                <w:color w:val="auto"/>
                <w:kern w:val="0"/>
                <w:sz w:val="28"/>
                <w:szCs w:val="28"/>
                <w:highlight w:val="none"/>
                <w:lang w:eastAsia="zh-CN"/>
              </w:rPr>
              <w:t>开启；</w:t>
            </w:r>
          </w:p>
          <w:p w14:paraId="037DA95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0DDA0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19</w:t>
            </w:r>
          </w:p>
        </w:tc>
        <w:tc>
          <w:tcPr>
            <w:tcW w:w="1122" w:type="pct"/>
            <w:noWrap w:val="0"/>
            <w:vAlign w:val="center"/>
          </w:tcPr>
          <w:p w14:paraId="5156C8D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评</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办法</w:t>
            </w:r>
          </w:p>
        </w:tc>
        <w:tc>
          <w:tcPr>
            <w:tcW w:w="3446" w:type="pct"/>
            <w:noWrap w:val="0"/>
            <w:vAlign w:val="center"/>
          </w:tcPr>
          <w:p w14:paraId="4C518E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BE02E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0</w:t>
            </w:r>
          </w:p>
        </w:tc>
        <w:tc>
          <w:tcPr>
            <w:tcW w:w="1122" w:type="pct"/>
            <w:noWrap w:val="0"/>
            <w:vAlign w:val="center"/>
          </w:tcPr>
          <w:p w14:paraId="21F7DDA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推荐中选候选人</w:t>
            </w:r>
          </w:p>
        </w:tc>
        <w:tc>
          <w:tcPr>
            <w:tcW w:w="3446" w:type="pct"/>
            <w:noWrap w:val="0"/>
            <w:vAlign w:val="center"/>
          </w:tcPr>
          <w:p w14:paraId="7C6F3FF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推荐中选候选人的人数为</w:t>
            </w:r>
            <w:r>
              <w:rPr>
                <w:rFonts w:hint="eastAsia" w:ascii="宋体" w:hAnsi="宋体" w:eastAsia="宋体" w:cs="宋体"/>
                <w:color w:val="auto"/>
                <w:kern w:val="0"/>
                <w:sz w:val="28"/>
                <w:szCs w:val="28"/>
                <w:highlight w:val="none"/>
                <w:u w:val="none"/>
                <w:lang w:val="en-US" w:eastAsia="zh-CN"/>
              </w:rPr>
              <w:t>1</w:t>
            </w:r>
            <w:r>
              <w:rPr>
                <w:rFonts w:hint="eastAsia" w:ascii="宋体" w:hAnsi="宋体" w:eastAsia="宋体" w:cs="宋体"/>
                <w:color w:val="auto"/>
                <w:kern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0F7B35D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w:t>
            </w:r>
            <w:r>
              <w:rPr>
                <w:rFonts w:hint="eastAsia" w:ascii="宋体" w:hAnsi="宋体" w:eastAsia="宋体" w:cs="宋体"/>
                <w:color w:val="auto"/>
                <w:kern w:val="0"/>
                <w:sz w:val="28"/>
                <w:szCs w:val="28"/>
                <w:highlight w:val="none"/>
                <w:lang w:val="en-US" w:eastAsia="zh-CN"/>
              </w:rPr>
              <w:t>1</w:t>
            </w:r>
          </w:p>
        </w:tc>
        <w:tc>
          <w:tcPr>
            <w:tcW w:w="1122" w:type="pct"/>
            <w:noWrap w:val="0"/>
            <w:vAlign w:val="center"/>
          </w:tcPr>
          <w:p w14:paraId="1925FA1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中</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通知</w:t>
            </w:r>
          </w:p>
        </w:tc>
        <w:tc>
          <w:tcPr>
            <w:tcW w:w="3446" w:type="pct"/>
            <w:noWrap w:val="0"/>
            <w:vAlign w:val="center"/>
          </w:tcPr>
          <w:p w14:paraId="529D79B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采购</w:t>
            </w:r>
            <w:r>
              <w:rPr>
                <w:rFonts w:hint="eastAsia" w:ascii="宋体" w:hAnsi="宋体" w:eastAsia="宋体" w:cs="宋体"/>
                <w:color w:val="auto"/>
                <w:kern w:val="0"/>
                <w:sz w:val="28"/>
                <w:szCs w:val="28"/>
                <w:highlight w:val="none"/>
                <w:u w:val="none"/>
                <w:lang w:eastAsia="zh-CN" w:bidi="ar"/>
              </w:rPr>
              <w:t>人将</w:t>
            </w:r>
            <w:r>
              <w:rPr>
                <w:rFonts w:hint="eastAsia" w:ascii="宋体" w:hAnsi="宋体" w:eastAsia="宋体" w:cs="宋体"/>
                <w:color w:val="auto"/>
                <w:kern w:val="0"/>
                <w:sz w:val="28"/>
                <w:szCs w:val="28"/>
                <w:highlight w:val="none"/>
                <w:u w:val="none"/>
                <w:lang w:val="en-US" w:eastAsia="zh-CN"/>
              </w:rPr>
              <w:t>竞价</w:t>
            </w:r>
            <w:r>
              <w:rPr>
                <w:rFonts w:hint="eastAsia" w:ascii="宋体" w:hAnsi="宋体" w:eastAsia="宋体" w:cs="宋体"/>
                <w:color w:val="auto"/>
                <w:kern w:val="0"/>
                <w:sz w:val="28"/>
                <w:szCs w:val="28"/>
                <w:highlight w:val="none"/>
                <w:u w:val="none"/>
                <w:lang w:eastAsia="zh-CN" w:bidi="ar"/>
              </w:rPr>
              <w:t>结果在</w:t>
            </w:r>
            <w:r>
              <w:rPr>
                <w:rFonts w:hint="eastAsia" w:ascii="宋体" w:hAnsi="宋体" w:eastAsia="宋体" w:cs="宋体"/>
                <w:color w:val="auto"/>
                <w:kern w:val="0"/>
                <w:sz w:val="28"/>
                <w:szCs w:val="28"/>
                <w:highlight w:val="none"/>
                <w:u w:val="none"/>
                <w:lang w:val="en-US" w:eastAsia="zh-CN" w:bidi="ar"/>
              </w:rPr>
              <w:t>广东路通达建设工程有限公司</w:t>
            </w:r>
            <w:r>
              <w:rPr>
                <w:rFonts w:hint="eastAsia" w:ascii="宋体" w:hAnsi="宋体" w:eastAsia="宋体" w:cs="宋体"/>
                <w:color w:val="auto"/>
                <w:kern w:val="0"/>
                <w:sz w:val="28"/>
                <w:szCs w:val="28"/>
                <w:highlight w:val="none"/>
                <w:u w:val="none"/>
                <w:lang w:eastAsia="zh-CN" w:bidi="ar"/>
              </w:rPr>
              <w:t>官网（http://www.gdltdjs.com）公示</w:t>
            </w:r>
            <w:r>
              <w:rPr>
                <w:rFonts w:hint="eastAsia" w:ascii="宋体" w:hAnsi="宋体" w:eastAsia="宋体" w:cs="宋体"/>
                <w:color w:val="auto"/>
                <w:kern w:val="0"/>
                <w:sz w:val="28"/>
                <w:szCs w:val="28"/>
                <w:highlight w:val="none"/>
                <w:u w:val="none"/>
                <w:lang w:val="en-US" w:eastAsia="zh-CN" w:bidi="ar"/>
              </w:rPr>
              <w:t>不少于3日</w:t>
            </w:r>
            <w:r>
              <w:rPr>
                <w:rFonts w:hint="eastAsia" w:ascii="宋体" w:hAnsi="宋体" w:eastAsia="宋体" w:cs="宋体"/>
                <w:color w:val="auto"/>
                <w:kern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42636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2</w:t>
            </w:r>
          </w:p>
        </w:tc>
        <w:tc>
          <w:tcPr>
            <w:tcW w:w="1122" w:type="pct"/>
            <w:noWrap w:val="0"/>
            <w:vAlign w:val="center"/>
          </w:tcPr>
          <w:p w14:paraId="061E7E6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履约担保</w:t>
            </w:r>
          </w:p>
        </w:tc>
        <w:tc>
          <w:tcPr>
            <w:tcW w:w="3446" w:type="pct"/>
            <w:noWrap w:val="0"/>
            <w:vAlign w:val="center"/>
          </w:tcPr>
          <w:p w14:paraId="27C03C9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27860FD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3</w:t>
            </w:r>
          </w:p>
        </w:tc>
        <w:tc>
          <w:tcPr>
            <w:tcW w:w="1122" w:type="pct"/>
            <w:noWrap w:val="0"/>
            <w:vAlign w:val="center"/>
          </w:tcPr>
          <w:p w14:paraId="7F701C8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质量担保</w:t>
            </w:r>
          </w:p>
        </w:tc>
        <w:tc>
          <w:tcPr>
            <w:tcW w:w="3446" w:type="pct"/>
            <w:noWrap w:val="0"/>
            <w:vAlign w:val="center"/>
          </w:tcPr>
          <w:p w14:paraId="74D9484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5000" w:type="pct"/>
            <w:gridSpan w:val="3"/>
            <w:vAlign w:val="center"/>
          </w:tcPr>
          <w:p w14:paraId="140B6A7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bCs w:val="0"/>
                <w:color w:val="auto"/>
                <w:kern w:val="0"/>
                <w:sz w:val="28"/>
                <w:szCs w:val="28"/>
                <w:highlight w:val="none"/>
                <w:lang w:eastAsia="en-US"/>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vAlign w:val="center"/>
          </w:tcPr>
          <w:p w14:paraId="7B23C27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4</w:t>
            </w:r>
          </w:p>
        </w:tc>
        <w:tc>
          <w:tcPr>
            <w:tcW w:w="1122" w:type="pct"/>
            <w:vAlign w:val="center"/>
          </w:tcPr>
          <w:p w14:paraId="6B5FFB5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废</w:t>
            </w:r>
            <w:r>
              <w:rPr>
                <w:rFonts w:hint="eastAsia" w:ascii="宋体" w:hAnsi="宋体" w:eastAsia="宋体" w:cs="宋体"/>
                <w:b w:val="0"/>
                <w:bCs/>
                <w:color w:val="auto"/>
                <w:kern w:val="0"/>
                <w:sz w:val="28"/>
                <w:szCs w:val="28"/>
                <w:highlight w:val="none"/>
                <w:lang w:eastAsia="zh-CN"/>
              </w:rPr>
              <w:t>选</w:t>
            </w:r>
            <w:r>
              <w:rPr>
                <w:rFonts w:hint="eastAsia" w:ascii="宋体" w:hAnsi="宋体" w:eastAsia="宋体" w:cs="宋体"/>
                <w:b w:val="0"/>
                <w:bCs/>
                <w:color w:val="auto"/>
                <w:kern w:val="0"/>
                <w:sz w:val="28"/>
                <w:szCs w:val="28"/>
                <w:highlight w:val="none"/>
                <w:lang w:eastAsia="en-US"/>
              </w:rPr>
              <w:t>条款</w:t>
            </w:r>
          </w:p>
        </w:tc>
        <w:tc>
          <w:tcPr>
            <w:tcW w:w="3446" w:type="pct"/>
            <w:vAlign w:val="center"/>
          </w:tcPr>
          <w:p w14:paraId="28F523A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1、响应人必须同时满足本表格第6项“参选人资格条件”所列的全部条件，否则废选；</w:t>
            </w:r>
          </w:p>
          <w:p w14:paraId="5744EDF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vAlign w:val="center"/>
          </w:tcPr>
          <w:p w14:paraId="6BE783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5</w:t>
            </w:r>
          </w:p>
        </w:tc>
        <w:tc>
          <w:tcPr>
            <w:tcW w:w="1122" w:type="pct"/>
            <w:vAlign w:val="center"/>
          </w:tcPr>
          <w:p w14:paraId="1304A93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最高限价</w:t>
            </w:r>
          </w:p>
        </w:tc>
        <w:tc>
          <w:tcPr>
            <w:tcW w:w="3446" w:type="pct"/>
            <w:vAlign w:val="center"/>
          </w:tcPr>
          <w:p w14:paraId="21A236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本工程</w:t>
            </w:r>
            <w:r>
              <w:rPr>
                <w:rFonts w:hint="eastAsia" w:ascii="宋体" w:hAnsi="宋体" w:eastAsia="宋体" w:cs="宋体"/>
                <w:b w:val="0"/>
                <w:bCs/>
                <w:color w:val="auto"/>
                <w:kern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vAlign w:val="center"/>
          </w:tcPr>
          <w:p w14:paraId="5D75AD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6</w:t>
            </w:r>
          </w:p>
        </w:tc>
        <w:tc>
          <w:tcPr>
            <w:tcW w:w="1122" w:type="pct"/>
            <w:vAlign w:val="center"/>
          </w:tcPr>
          <w:p w14:paraId="06A2433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重新竞价</w:t>
            </w:r>
          </w:p>
        </w:tc>
        <w:tc>
          <w:tcPr>
            <w:tcW w:w="3446" w:type="pct"/>
            <w:vAlign w:val="center"/>
          </w:tcPr>
          <w:p w14:paraId="747BE40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有下列情形之一的，采购人将重新竞价：</w:t>
            </w:r>
          </w:p>
          <w:p w14:paraId="3925D87D">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（1）响应截止时间止，响应人少于3个的；</w:t>
            </w:r>
          </w:p>
          <w:p w14:paraId="2789409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（2）采购代理机构审查后否决所有响应文件的；</w:t>
            </w:r>
          </w:p>
          <w:p w14:paraId="126C6D5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430" w:type="pct"/>
            <w:vAlign w:val="center"/>
          </w:tcPr>
          <w:p w14:paraId="7328955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7</w:t>
            </w:r>
          </w:p>
        </w:tc>
        <w:tc>
          <w:tcPr>
            <w:tcW w:w="1122" w:type="pct"/>
            <w:vAlign w:val="center"/>
          </w:tcPr>
          <w:p w14:paraId="28CC869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其他</w:t>
            </w:r>
          </w:p>
        </w:tc>
        <w:tc>
          <w:tcPr>
            <w:tcW w:w="3446" w:type="pct"/>
            <w:vAlign w:val="center"/>
          </w:tcPr>
          <w:p w14:paraId="4BE1A86B">
            <w:pPr>
              <w:keepNext w:val="0"/>
              <w:keepLines w:val="0"/>
              <w:pageBreakBefore w:val="0"/>
              <w:widowControl/>
              <w:kinsoku/>
              <w:wordWrap w:val="0"/>
              <w:overflowPunct/>
              <w:topLinePunct w:val="0"/>
              <w:autoSpaceDE/>
              <w:autoSpaceDN/>
              <w:bidi w:val="0"/>
              <w:adjustRightInd w:val="0"/>
              <w:snapToGrid/>
              <w:spacing w:before="0" w:after="0"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本竞价文件的解释权归广东路通达建设工程有限公司、惠州中茂招标有限公司。</w:t>
            </w:r>
          </w:p>
        </w:tc>
      </w:tr>
    </w:tbl>
    <w:p w14:paraId="1B00E8C8">
      <w:pPr>
        <w:widowControl/>
        <w:jc w:val="left"/>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br w:type="page"/>
      </w:r>
    </w:p>
    <w:p w14:paraId="257002A4">
      <w:pPr>
        <w:widowControl/>
        <w:autoSpaceDE w:val="0"/>
        <w:autoSpaceDN w:val="0"/>
        <w:adjustRightInd w:val="0"/>
        <w:spacing w:line="700" w:lineRule="exact"/>
        <w:jc w:val="both"/>
        <w:rPr>
          <w:rFonts w:hint="eastAsia" w:ascii="宋体" w:hAnsi="宋体" w:eastAsia="宋体" w:cs="宋体"/>
          <w:bCs/>
          <w:color w:val="auto"/>
          <w:kern w:val="0"/>
          <w:sz w:val="44"/>
          <w:szCs w:val="44"/>
          <w:highlight w:val="none"/>
          <w:lang w:eastAsia="zh-CN"/>
        </w:rPr>
      </w:pPr>
      <w:r>
        <w:rPr>
          <w:rFonts w:hint="eastAsia" w:ascii="宋体" w:hAnsi="宋体" w:eastAsia="宋体" w:cs="宋体"/>
          <w:b/>
          <w:color w:val="auto"/>
          <w:kern w:val="0"/>
          <w:sz w:val="28"/>
          <w:szCs w:val="28"/>
          <w:highlight w:val="none"/>
          <w:lang w:eastAsia="zh-CN"/>
        </w:rPr>
        <w:t>附表一：</w:t>
      </w:r>
    </w:p>
    <w:p w14:paraId="5BD26020">
      <w:pPr>
        <w:keepNext w:val="0"/>
        <w:keepLines w:val="0"/>
        <w:pageBreakBefore w:val="0"/>
        <w:widowControl/>
        <w:kinsoku/>
        <w:overflowPunct/>
        <w:bidi w:val="0"/>
        <w:spacing w:line="360" w:lineRule="auto"/>
        <w:ind w:left="0" w:leftChars="0" w:right="0" w:rightChars="0"/>
        <w:jc w:val="center"/>
        <w:rPr>
          <w:rFonts w:hint="eastAsia" w:ascii="宋体" w:hAnsi="宋体" w:eastAsia="宋体" w:cs="宋体"/>
          <w:color w:val="auto"/>
          <w:kern w:val="0"/>
          <w:sz w:val="24"/>
          <w:szCs w:val="24"/>
          <w:lang w:eastAsia="zh-CN"/>
        </w:rPr>
      </w:pPr>
      <w:r>
        <w:rPr>
          <w:rFonts w:hint="eastAsia" w:ascii="宋体" w:hAnsi="宋体" w:eastAsia="宋体" w:cs="宋体"/>
          <w:b/>
          <w:color w:val="auto"/>
          <w:kern w:val="0"/>
          <w:sz w:val="32"/>
          <w:szCs w:val="32"/>
          <w:lang w:eastAsia="zh-CN"/>
        </w:rPr>
        <w:t>响应文件开启记录表</w:t>
      </w:r>
    </w:p>
    <w:p w14:paraId="1389125C">
      <w:pPr>
        <w:keepNext w:val="0"/>
        <w:keepLines w:val="0"/>
        <w:pageBreakBefore w:val="0"/>
        <w:widowControl/>
        <w:kinsoku/>
        <w:overflowPunct/>
        <w:bidi w:val="0"/>
        <w:spacing w:line="360" w:lineRule="auto"/>
        <w:ind w:left="0" w:leftChars="0" w:right="0" w:rightChars="0" w:firstLine="0" w:firstLineChars="0"/>
        <w:jc w:val="both"/>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项目名称：</w:t>
      </w:r>
      <w:r>
        <w:rPr>
          <w:rFonts w:hint="eastAsia" w:ascii="宋体" w:hAnsi="宋体" w:eastAsia="宋体" w:cs="宋体"/>
          <w:color w:val="auto"/>
          <w:kern w:val="0"/>
          <w:sz w:val="28"/>
          <w:szCs w:val="28"/>
          <w:lang w:val="en-US" w:eastAsia="zh-CN"/>
        </w:rPr>
        <w:t>惠东县水质提升工程项目（黄埠镇盐洲片区）（编号01号）施工分包（桩基、装修装饰工程）</w:t>
      </w:r>
    </w:p>
    <w:tbl>
      <w:tblPr>
        <w:tblStyle w:val="8"/>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序号</w:t>
            </w:r>
          </w:p>
        </w:tc>
        <w:tc>
          <w:tcPr>
            <w:tcW w:w="2071" w:type="dxa"/>
            <w:tcBorders>
              <w:top w:val="single" w:color="auto" w:sz="4" w:space="0"/>
            </w:tcBorders>
            <w:noWrap w:val="0"/>
            <w:vAlign w:val="center"/>
          </w:tcPr>
          <w:p w14:paraId="52E8ECF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送达</w:t>
            </w:r>
          </w:p>
          <w:p w14:paraId="1636DA7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200" w:type="dxa"/>
            <w:tcBorders>
              <w:top w:val="single" w:color="auto" w:sz="4" w:space="0"/>
            </w:tcBorders>
            <w:noWrap w:val="0"/>
            <w:vAlign w:val="center"/>
          </w:tcPr>
          <w:p w14:paraId="13C282F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密封</w:t>
            </w:r>
          </w:p>
          <w:p w14:paraId="7C3A914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538" w:type="dxa"/>
            <w:tcBorders>
              <w:top w:val="single" w:color="auto" w:sz="4" w:space="0"/>
            </w:tcBorders>
            <w:noWrap w:val="0"/>
            <w:vAlign w:val="center"/>
          </w:tcPr>
          <w:p w14:paraId="6C9E33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en-US"/>
              </w:rPr>
              <w:t>报价</w:t>
            </w:r>
            <w:r>
              <w:rPr>
                <w:rFonts w:hint="eastAsia" w:ascii="宋体" w:hAnsi="宋体" w:eastAsia="宋体" w:cs="宋体"/>
                <w:color w:val="auto"/>
                <w:kern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1</w:t>
            </w:r>
          </w:p>
        </w:tc>
        <w:tc>
          <w:tcPr>
            <w:tcW w:w="2071" w:type="dxa"/>
            <w:noWrap w:val="0"/>
            <w:vAlign w:val="center"/>
          </w:tcPr>
          <w:p w14:paraId="597D734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8B0F26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2FFCA07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2</w:t>
            </w:r>
          </w:p>
        </w:tc>
        <w:tc>
          <w:tcPr>
            <w:tcW w:w="2071" w:type="dxa"/>
            <w:noWrap w:val="0"/>
            <w:vAlign w:val="center"/>
          </w:tcPr>
          <w:p w14:paraId="1B2C5E8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09BC7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5EE43A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3</w:t>
            </w:r>
          </w:p>
        </w:tc>
        <w:tc>
          <w:tcPr>
            <w:tcW w:w="2071" w:type="dxa"/>
            <w:noWrap w:val="0"/>
            <w:vAlign w:val="center"/>
          </w:tcPr>
          <w:p w14:paraId="449C578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A47C0E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52737A9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4</w:t>
            </w:r>
          </w:p>
        </w:tc>
        <w:tc>
          <w:tcPr>
            <w:tcW w:w="2071" w:type="dxa"/>
            <w:noWrap w:val="0"/>
            <w:vAlign w:val="center"/>
          </w:tcPr>
          <w:p w14:paraId="0F8B7CC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783CECD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98E4C32">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w:t>
            </w:r>
          </w:p>
        </w:tc>
        <w:tc>
          <w:tcPr>
            <w:tcW w:w="2071" w:type="dxa"/>
            <w:noWrap w:val="0"/>
            <w:vAlign w:val="center"/>
          </w:tcPr>
          <w:p w14:paraId="039868F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4D2FE6D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1C7929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w:t>
            </w:r>
          </w:p>
        </w:tc>
        <w:tc>
          <w:tcPr>
            <w:tcW w:w="2071" w:type="dxa"/>
            <w:noWrap w:val="0"/>
            <w:vAlign w:val="center"/>
          </w:tcPr>
          <w:p w14:paraId="474E20C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248CFC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815392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最高</w:t>
            </w:r>
            <w:r>
              <w:rPr>
                <w:rFonts w:hint="eastAsia" w:ascii="宋体" w:hAnsi="宋体" w:eastAsia="宋体" w:cs="宋体"/>
                <w:color w:val="auto"/>
                <w:kern w:val="0"/>
                <w:sz w:val="28"/>
                <w:szCs w:val="28"/>
                <w:lang w:eastAsia="zh-CN"/>
              </w:rPr>
              <w:t>响应</w:t>
            </w:r>
            <w:r>
              <w:rPr>
                <w:rFonts w:hint="eastAsia" w:ascii="宋体" w:hAnsi="宋体" w:eastAsia="宋体" w:cs="宋体"/>
                <w:color w:val="auto"/>
                <w:kern w:val="0"/>
                <w:sz w:val="28"/>
                <w:szCs w:val="28"/>
                <w:lang w:eastAsia="en-US"/>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eastAsia="zh-CN"/>
              </w:rPr>
              <w:t>元</w:t>
            </w:r>
          </w:p>
        </w:tc>
      </w:tr>
    </w:tbl>
    <w:p w14:paraId="52609DEF">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2B6F9A03">
      <w:pPr>
        <w:keepNext w:val="0"/>
        <w:keepLines w:val="0"/>
        <w:pageBreakBefore w:val="0"/>
        <w:widowControl/>
        <w:kinsoku/>
        <w:overflowPunct/>
        <w:bidi w:val="0"/>
        <w:ind w:left="0" w:leftChars="0" w:right="0" w:rightChars="0"/>
        <w:jc w:val="left"/>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 xml:space="preserve">宣读人：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记录人：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年   月   日</w:t>
      </w:r>
    </w:p>
    <w:p w14:paraId="05F271B7">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327A8CA9">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监督人：</w:t>
      </w:r>
    </w:p>
    <w:p w14:paraId="0096C76D">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br w:type="page"/>
      </w:r>
    </w:p>
    <w:p w14:paraId="700649AE">
      <w:pPr>
        <w:widowControl/>
        <w:adjustRightInd w:val="0"/>
        <w:snapToGrid w:val="0"/>
        <w:spacing w:line="360" w:lineRule="auto"/>
        <w:jc w:val="left"/>
        <w:outlineLvl w:val="9"/>
        <w:rPr>
          <w:rFonts w:hint="eastAsia" w:ascii="宋体" w:hAnsi="宋体" w:eastAsia="宋体" w:cs="宋体"/>
          <w:color w:val="auto"/>
          <w:kern w:val="0"/>
          <w:sz w:val="24"/>
          <w:highlight w:val="none"/>
          <w:lang w:eastAsia="zh-CN"/>
        </w:rPr>
      </w:pPr>
      <w:r>
        <w:rPr>
          <w:rFonts w:hint="eastAsia" w:ascii="宋体" w:hAnsi="宋体" w:eastAsia="宋体" w:cs="宋体"/>
          <w:b/>
          <w:color w:val="auto"/>
          <w:kern w:val="0"/>
          <w:sz w:val="28"/>
          <w:szCs w:val="28"/>
          <w:highlight w:val="none"/>
          <w:lang w:eastAsia="zh-CN"/>
        </w:rPr>
        <w:t>附表二：</w:t>
      </w:r>
    </w:p>
    <w:p w14:paraId="038F8E13">
      <w:pPr>
        <w:widowControl w:val="0"/>
        <w:wordWrap w:val="0"/>
        <w:topLinePunct/>
        <w:adjustRightInd w:val="0"/>
        <w:snapToGrid w:val="0"/>
        <w:spacing w:line="360" w:lineRule="auto"/>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t>中选通知书</w:t>
      </w:r>
    </w:p>
    <w:p w14:paraId="5FD92FC7">
      <w:pPr>
        <w:widowControl w:val="0"/>
        <w:wordWrap w:val="0"/>
        <w:topLinePunct/>
        <w:adjustRightInd w:val="0"/>
        <w:snapToGrid w:val="0"/>
        <w:spacing w:line="360" w:lineRule="auto"/>
        <w:ind w:firstLine="480" w:firstLineChars="200"/>
        <w:jc w:val="left"/>
        <w:rPr>
          <w:rFonts w:hint="eastAsia" w:ascii="宋体" w:hAnsi="宋体" w:eastAsia="宋体" w:cs="宋体"/>
          <w:color w:val="auto"/>
          <w:kern w:val="0"/>
          <w:sz w:val="24"/>
          <w:highlight w:val="none"/>
          <w:lang w:eastAsia="zh-CN"/>
        </w:rPr>
      </w:pPr>
    </w:p>
    <w:p w14:paraId="14503592">
      <w:pPr>
        <w:widowControl w:val="0"/>
        <w:wordWrap w:val="0"/>
        <w:topLinePunct/>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（中选人名称）：</w:t>
      </w:r>
    </w:p>
    <w:p w14:paraId="7DA848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u w:val="single"/>
          <w:lang w:eastAsia="zh-CN"/>
        </w:rPr>
      </w:pPr>
    </w:p>
    <w:p w14:paraId="06C1F665">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你方于</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（响应截止日期前）所递交的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项目名称</w:t>
      </w:r>
      <w:r>
        <w:rPr>
          <w:rFonts w:hint="eastAsia" w:ascii="宋体" w:hAnsi="宋体" w:eastAsia="宋体" w:cs="宋体"/>
          <w:color w:val="auto"/>
          <w:kern w:val="0"/>
          <w:sz w:val="28"/>
          <w:szCs w:val="28"/>
          <w:highlight w:val="none"/>
          <w:lang w:eastAsia="zh-CN"/>
        </w:rPr>
        <w:t>）响应文件已被</w:t>
      </w:r>
      <w:r>
        <w:rPr>
          <w:rFonts w:hint="eastAsia" w:ascii="宋体" w:hAnsi="宋体" w:eastAsia="宋体" w:cs="宋体"/>
          <w:color w:val="auto"/>
          <w:kern w:val="0"/>
          <w:sz w:val="28"/>
          <w:szCs w:val="28"/>
          <w:lang w:val="en-US" w:eastAsia="zh-CN"/>
        </w:rPr>
        <w:t>采购人</w:t>
      </w:r>
      <w:r>
        <w:rPr>
          <w:rFonts w:hint="eastAsia" w:ascii="宋体" w:hAnsi="宋体" w:eastAsia="宋体" w:cs="宋体"/>
          <w:color w:val="auto"/>
          <w:kern w:val="0"/>
          <w:sz w:val="28"/>
          <w:szCs w:val="28"/>
          <w:highlight w:val="none"/>
          <w:lang w:eastAsia="zh-CN"/>
        </w:rPr>
        <w:t>接受，被确定为中选人。</w:t>
      </w:r>
    </w:p>
    <w:p w14:paraId="4D3C4DC2">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中选</w:t>
      </w:r>
      <w:r>
        <w:rPr>
          <w:rFonts w:hint="eastAsia" w:ascii="宋体" w:hAnsi="宋体" w:eastAsia="宋体" w:cs="宋体"/>
          <w:color w:val="auto"/>
          <w:kern w:val="0"/>
          <w:sz w:val="28"/>
          <w:szCs w:val="28"/>
          <w:highlight w:val="none"/>
          <w:lang w:val="en-US" w:eastAsia="zh-CN"/>
        </w:rPr>
        <w:t>金额</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元。</w:t>
      </w:r>
    </w:p>
    <w:p w14:paraId="3272DD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工期</w:t>
      </w:r>
      <w:r>
        <w:rPr>
          <w:rFonts w:hint="eastAsia" w:ascii="宋体" w:hAnsi="宋体" w:eastAsia="宋体" w:cs="宋体"/>
          <w:color w:val="auto"/>
          <w:kern w:val="0"/>
          <w:sz w:val="28"/>
          <w:szCs w:val="28"/>
          <w:highlight w:val="none"/>
          <w:lang w:val="en-US" w:eastAsia="zh-CN"/>
        </w:rPr>
        <w:t>时间</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lang w:eastAsia="zh-CN"/>
        </w:rPr>
        <w:t>。</w:t>
      </w:r>
    </w:p>
    <w:p w14:paraId="608A263A">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请你方在接到本通知书后的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日内到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与采购人签订合同。</w:t>
      </w:r>
    </w:p>
    <w:p w14:paraId="11AF57B0">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492510B">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特此通知。</w:t>
      </w:r>
    </w:p>
    <w:p w14:paraId="684AF9C1">
      <w:pPr>
        <w:widowControl w:val="0"/>
        <w:wordWrap w:val="0"/>
        <w:topLinePunct/>
        <w:adjustRightInd w:val="0"/>
        <w:snapToGrid w:val="0"/>
        <w:spacing w:line="360" w:lineRule="auto"/>
        <w:ind w:firstLine="4317" w:firstLineChars="1542"/>
        <w:jc w:val="left"/>
        <w:rPr>
          <w:rFonts w:hint="eastAsia" w:ascii="宋体" w:hAnsi="宋体" w:eastAsia="宋体" w:cs="宋体"/>
          <w:color w:val="auto"/>
          <w:kern w:val="0"/>
          <w:sz w:val="28"/>
          <w:szCs w:val="28"/>
          <w:highlight w:val="none"/>
          <w:lang w:eastAsia="zh-CN"/>
        </w:rPr>
      </w:pPr>
    </w:p>
    <w:p w14:paraId="78EA82A2">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采购人：广东路通达建设工程有限公司</w:t>
      </w:r>
    </w:p>
    <w:p w14:paraId="2F6D8D57">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采购代理机构：惠州中茂招标有限公司</w:t>
      </w:r>
    </w:p>
    <w:p w14:paraId="3533B6A0">
      <w:pPr>
        <w:widowControl w:val="0"/>
        <w:wordWrap/>
        <w:spacing w:line="440" w:lineRule="exact"/>
        <w:jc w:val="right"/>
        <w:rPr>
          <w:rFonts w:hint="eastAsia" w:ascii="宋体" w:hAnsi="宋体" w:eastAsia="宋体" w:cs="宋体"/>
          <w:color w:val="auto"/>
          <w:kern w:val="2"/>
          <w:sz w:val="28"/>
          <w:szCs w:val="28"/>
          <w:highlight w:val="none"/>
          <w:u w:val="single" w:color="000000"/>
          <w:lang w:val="en-US" w:eastAsia="zh-CN" w:bidi="ar-SA"/>
        </w:rPr>
      </w:pP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年</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月</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日</w:t>
      </w:r>
    </w:p>
    <w:p w14:paraId="0BCE59F5">
      <w:pPr>
        <w:rPr>
          <w:rFonts w:hint="eastAsia" w:ascii="宋体" w:hAnsi="宋体" w:eastAsia="宋体" w:cs="宋体"/>
          <w:b/>
          <w:bCs/>
          <w:color w:val="auto"/>
          <w:sz w:val="32"/>
          <w:szCs w:val="32"/>
          <w:highlight w:val="none"/>
          <w:lang w:eastAsia="zh-CN"/>
        </w:rPr>
        <w:sectPr>
          <w:footerReference r:id="rId5" w:type="default"/>
          <w:pgSz w:w="11900" w:h="16840"/>
          <w:pgMar w:top="1440" w:right="1477"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kern w:val="0"/>
          <w:sz w:val="32"/>
          <w:szCs w:val="32"/>
          <w:highlight w:val="none"/>
          <w:lang w:eastAsia="zh-CN"/>
        </w:rPr>
        <w:br w:type="page"/>
      </w:r>
    </w:p>
    <w:p w14:paraId="0AC69A01">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3" w:name="_Toc27124"/>
      <w:r>
        <w:rPr>
          <w:rFonts w:hint="eastAsia" w:ascii="宋体" w:hAnsi="宋体" w:eastAsia="宋体" w:cs="宋体"/>
          <w:b/>
          <w:bCs/>
          <w:color w:val="auto"/>
          <w:kern w:val="0"/>
          <w:sz w:val="32"/>
          <w:szCs w:val="32"/>
          <w:highlight w:val="none"/>
          <w:lang w:val="en-US" w:eastAsia="zh-CN"/>
        </w:rPr>
        <w:t>第三部分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工程量清单</w:t>
      </w:r>
      <w:bookmarkEnd w:id="13"/>
    </w:p>
    <w:p w14:paraId="70B8E7EF">
      <w:pPr>
        <w:rPr>
          <w:rFonts w:hint="eastAsia" w:ascii="宋体" w:hAnsi="宋体" w:eastAsia="宋体" w:cs="宋体"/>
          <w:color w:val="auto"/>
          <w:sz w:val="20"/>
          <w:szCs w:val="20"/>
          <w:highlight w:val="none"/>
          <w:lang w:val="zh-CN" w:eastAsia="zh-CN" w:bidi="zh-CN"/>
        </w:rPr>
      </w:pPr>
    </w:p>
    <w:tbl>
      <w:tblPr>
        <w:tblStyle w:val="8"/>
        <w:tblpPr w:leftFromText="180" w:rightFromText="180" w:vertAnchor="text" w:tblpX="93" w:tblpY="1"/>
        <w:tblOverlap w:val="never"/>
        <w:tblW w:w="7937"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5"/>
        <w:gridCol w:w="222"/>
        <w:gridCol w:w="1803"/>
        <w:gridCol w:w="2577"/>
        <w:gridCol w:w="2580"/>
      </w:tblGrid>
      <w:tr w14:paraId="08FB9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7937" w:type="dxa"/>
            <w:gridSpan w:val="5"/>
            <w:tcBorders>
              <w:top w:val="nil"/>
              <w:left w:val="nil"/>
              <w:bottom w:val="nil"/>
              <w:right w:val="nil"/>
            </w:tcBorders>
            <w:shd w:val="clear" w:color="auto" w:fill="FFFFFF"/>
            <w:vAlign w:val="center"/>
          </w:tcPr>
          <w:p w14:paraId="078E7C33">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40"/>
                <w:szCs w:val="40"/>
                <w:u w:val="none"/>
                <w:lang w:val="en-US" w:eastAsia="zh-CN" w:bidi="ar"/>
              </w:rPr>
              <w:t>分包专项工程量清单汇总表</w:t>
            </w:r>
          </w:p>
        </w:tc>
      </w:tr>
      <w:tr w14:paraId="0E4C0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937" w:type="dxa"/>
            <w:gridSpan w:val="5"/>
            <w:tcBorders>
              <w:top w:val="nil"/>
              <w:left w:val="nil"/>
              <w:bottom w:val="nil"/>
              <w:right w:val="nil"/>
            </w:tcBorders>
            <w:shd w:val="clear" w:color="auto" w:fill="FFFFFF"/>
            <w:vAlign w:val="bottom"/>
          </w:tcPr>
          <w:p w14:paraId="59FDEEB5">
            <w:pPr>
              <w:keepNext w:val="0"/>
              <w:keepLines w:val="0"/>
              <w:widowControl/>
              <w:suppressLineNumbers w:val="0"/>
              <w:jc w:val="left"/>
              <w:textAlignment w:val="bottom"/>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项目名称:惠东县水质提升工程项目（黄埠镇盐洲片区）</w:t>
            </w:r>
          </w:p>
        </w:tc>
      </w:tr>
      <w:tr w14:paraId="05BBC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5EC6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序号</w:t>
            </w:r>
          </w:p>
        </w:tc>
        <w:tc>
          <w:tcPr>
            <w:tcW w:w="202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5CEFF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单位工程名称</w:t>
            </w:r>
          </w:p>
        </w:tc>
        <w:tc>
          <w:tcPr>
            <w:tcW w:w="2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5EC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不含增值税金额（元）</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910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备注</w:t>
            </w:r>
          </w:p>
        </w:tc>
      </w:tr>
      <w:tr w14:paraId="7041A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9ADD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202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D85B60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桩基工程专业分包</w:t>
            </w:r>
          </w:p>
        </w:tc>
        <w:tc>
          <w:tcPr>
            <w:tcW w:w="2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11949">
            <w:pPr>
              <w:jc w:val="right"/>
              <w:rPr>
                <w:rFonts w:hint="eastAsia" w:ascii="宋体" w:hAnsi="宋体" w:eastAsia="宋体" w:cs="宋体"/>
                <w:i w:val="0"/>
                <w:iCs w:val="0"/>
                <w:color w:val="auto"/>
                <w:sz w:val="20"/>
                <w:szCs w:val="20"/>
                <w:u w:val="none"/>
              </w:rPr>
            </w:pPr>
          </w:p>
        </w:tc>
        <w:tc>
          <w:tcPr>
            <w:tcW w:w="25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A58FED">
            <w:pPr>
              <w:jc w:val="right"/>
              <w:rPr>
                <w:rFonts w:hint="eastAsia" w:ascii="宋体" w:hAnsi="宋体" w:eastAsia="宋体" w:cs="宋体"/>
                <w:i w:val="0"/>
                <w:iCs w:val="0"/>
                <w:color w:val="auto"/>
                <w:sz w:val="20"/>
                <w:szCs w:val="20"/>
                <w:u w:val="none"/>
              </w:rPr>
            </w:pPr>
          </w:p>
        </w:tc>
      </w:tr>
      <w:tr w14:paraId="49F16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BFF93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202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C486C4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建筑装饰工程（门窗、栏杆）专业分包</w:t>
            </w:r>
          </w:p>
        </w:tc>
        <w:tc>
          <w:tcPr>
            <w:tcW w:w="2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2464B">
            <w:pPr>
              <w:jc w:val="right"/>
              <w:rPr>
                <w:rFonts w:hint="eastAsia" w:ascii="宋体" w:hAnsi="宋体" w:eastAsia="宋体" w:cs="宋体"/>
                <w:i w:val="0"/>
                <w:iCs w:val="0"/>
                <w:color w:val="auto"/>
                <w:sz w:val="20"/>
                <w:szCs w:val="20"/>
                <w:u w:val="none"/>
              </w:rPr>
            </w:pPr>
          </w:p>
        </w:tc>
        <w:tc>
          <w:tcPr>
            <w:tcW w:w="25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8D1941">
            <w:pPr>
              <w:jc w:val="right"/>
              <w:rPr>
                <w:rFonts w:hint="eastAsia" w:ascii="宋体" w:hAnsi="宋体" w:eastAsia="宋体" w:cs="宋体"/>
                <w:i w:val="0"/>
                <w:iCs w:val="0"/>
                <w:color w:val="auto"/>
                <w:sz w:val="20"/>
                <w:szCs w:val="20"/>
                <w:u w:val="none"/>
              </w:rPr>
            </w:pPr>
          </w:p>
        </w:tc>
      </w:tr>
      <w:tr w14:paraId="55032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3C97F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不含增值税总价</w:t>
            </w:r>
          </w:p>
        </w:tc>
        <w:tc>
          <w:tcPr>
            <w:tcW w:w="2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2E8AE">
            <w:pPr>
              <w:rPr>
                <w:rFonts w:hint="eastAsia" w:ascii="宋体" w:hAnsi="宋体" w:eastAsia="宋体" w:cs="宋体"/>
                <w:i w:val="0"/>
                <w:iCs w:val="0"/>
                <w:color w:val="auto"/>
                <w:sz w:val="20"/>
                <w:szCs w:val="20"/>
                <w:u w:val="none"/>
              </w:rPr>
            </w:pP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8767A">
            <w:pPr>
              <w:jc w:val="both"/>
              <w:rPr>
                <w:rFonts w:hint="eastAsia" w:ascii="宋体" w:hAnsi="宋体" w:eastAsia="宋体" w:cs="宋体"/>
                <w:i w:val="0"/>
                <w:iCs w:val="0"/>
                <w:color w:val="auto"/>
                <w:sz w:val="20"/>
                <w:szCs w:val="20"/>
                <w:u w:val="none"/>
              </w:rPr>
            </w:pPr>
          </w:p>
        </w:tc>
      </w:tr>
      <w:tr w14:paraId="186A8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2FD45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增值税（9%）</w:t>
            </w:r>
          </w:p>
        </w:tc>
        <w:tc>
          <w:tcPr>
            <w:tcW w:w="2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0DF9A">
            <w:pPr>
              <w:rPr>
                <w:rFonts w:hint="eastAsia" w:ascii="宋体" w:hAnsi="宋体" w:eastAsia="宋体" w:cs="宋体"/>
                <w:i w:val="0"/>
                <w:iCs w:val="0"/>
                <w:color w:val="auto"/>
                <w:sz w:val="20"/>
                <w:szCs w:val="20"/>
                <w:u w:val="none"/>
              </w:rPr>
            </w:pP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9EF2F">
            <w:pPr>
              <w:jc w:val="both"/>
              <w:rPr>
                <w:rFonts w:hint="eastAsia" w:ascii="宋体" w:hAnsi="宋体" w:eastAsia="宋体" w:cs="宋体"/>
                <w:i w:val="0"/>
                <w:iCs w:val="0"/>
                <w:color w:val="auto"/>
                <w:sz w:val="20"/>
                <w:szCs w:val="20"/>
                <w:u w:val="none"/>
              </w:rPr>
            </w:pPr>
          </w:p>
        </w:tc>
      </w:tr>
      <w:tr w14:paraId="44E1B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317A7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含增值税合计</w:t>
            </w:r>
          </w:p>
        </w:tc>
        <w:tc>
          <w:tcPr>
            <w:tcW w:w="2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AA1FE">
            <w:pPr>
              <w:rPr>
                <w:rFonts w:hint="eastAsia" w:ascii="宋体" w:hAnsi="宋体" w:eastAsia="宋体" w:cs="宋体"/>
                <w:i w:val="0"/>
                <w:iCs w:val="0"/>
                <w:color w:val="auto"/>
                <w:sz w:val="20"/>
                <w:szCs w:val="20"/>
                <w:u w:val="none"/>
              </w:rPr>
            </w:pP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1D587">
            <w:pPr>
              <w:jc w:val="both"/>
              <w:rPr>
                <w:rFonts w:hint="eastAsia" w:ascii="宋体" w:hAnsi="宋体" w:eastAsia="宋体" w:cs="宋体"/>
                <w:i w:val="0"/>
                <w:iCs w:val="0"/>
                <w:color w:val="auto"/>
                <w:sz w:val="20"/>
                <w:szCs w:val="20"/>
                <w:u w:val="none"/>
              </w:rPr>
            </w:pPr>
          </w:p>
        </w:tc>
      </w:tr>
      <w:tr w14:paraId="0C8A6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55" w:type="dxa"/>
            <w:tcBorders>
              <w:top w:val="nil"/>
              <w:left w:val="nil"/>
              <w:bottom w:val="nil"/>
              <w:right w:val="nil"/>
            </w:tcBorders>
            <w:shd w:val="clear" w:color="auto" w:fill="auto"/>
            <w:noWrap/>
            <w:vAlign w:val="center"/>
          </w:tcPr>
          <w:p w14:paraId="15521177">
            <w:pPr>
              <w:rPr>
                <w:rFonts w:hint="eastAsia" w:ascii="宋体" w:hAnsi="宋体" w:eastAsia="宋体" w:cs="宋体"/>
                <w:i w:val="0"/>
                <w:iCs w:val="0"/>
                <w:color w:val="auto"/>
                <w:sz w:val="22"/>
                <w:szCs w:val="22"/>
                <w:u w:val="none"/>
              </w:rPr>
            </w:pPr>
          </w:p>
        </w:tc>
        <w:tc>
          <w:tcPr>
            <w:tcW w:w="222" w:type="dxa"/>
            <w:tcBorders>
              <w:top w:val="nil"/>
              <w:left w:val="nil"/>
              <w:bottom w:val="nil"/>
              <w:right w:val="nil"/>
            </w:tcBorders>
            <w:shd w:val="clear" w:color="auto" w:fill="auto"/>
            <w:noWrap/>
            <w:vAlign w:val="center"/>
          </w:tcPr>
          <w:p w14:paraId="7E5EA113">
            <w:pPr>
              <w:rPr>
                <w:rFonts w:hint="eastAsia" w:ascii="宋体" w:hAnsi="宋体" w:eastAsia="宋体" w:cs="宋体"/>
                <w:i w:val="0"/>
                <w:iCs w:val="0"/>
                <w:color w:val="auto"/>
                <w:sz w:val="22"/>
                <w:szCs w:val="22"/>
                <w:u w:val="none"/>
              </w:rPr>
            </w:pPr>
          </w:p>
        </w:tc>
        <w:tc>
          <w:tcPr>
            <w:tcW w:w="1803" w:type="dxa"/>
            <w:tcBorders>
              <w:top w:val="nil"/>
              <w:left w:val="nil"/>
              <w:bottom w:val="nil"/>
              <w:right w:val="nil"/>
            </w:tcBorders>
            <w:shd w:val="clear" w:color="auto" w:fill="auto"/>
            <w:noWrap/>
            <w:vAlign w:val="center"/>
          </w:tcPr>
          <w:p w14:paraId="7527B019">
            <w:pPr>
              <w:rPr>
                <w:rFonts w:hint="eastAsia" w:ascii="宋体" w:hAnsi="宋体" w:eastAsia="宋体" w:cs="宋体"/>
                <w:i w:val="0"/>
                <w:iCs w:val="0"/>
                <w:color w:val="auto"/>
                <w:sz w:val="22"/>
                <w:szCs w:val="22"/>
                <w:u w:val="none"/>
              </w:rPr>
            </w:pPr>
          </w:p>
        </w:tc>
        <w:tc>
          <w:tcPr>
            <w:tcW w:w="2577" w:type="dxa"/>
            <w:tcBorders>
              <w:top w:val="nil"/>
              <w:left w:val="nil"/>
              <w:bottom w:val="nil"/>
              <w:right w:val="nil"/>
            </w:tcBorders>
            <w:shd w:val="clear" w:color="auto" w:fill="auto"/>
            <w:noWrap/>
            <w:vAlign w:val="center"/>
          </w:tcPr>
          <w:p w14:paraId="79C5A323">
            <w:pPr>
              <w:rPr>
                <w:rFonts w:hint="eastAsia" w:ascii="宋体" w:hAnsi="宋体" w:eastAsia="宋体" w:cs="宋体"/>
                <w:i w:val="0"/>
                <w:iCs w:val="0"/>
                <w:color w:val="auto"/>
                <w:sz w:val="22"/>
                <w:szCs w:val="22"/>
                <w:u w:val="none"/>
              </w:rPr>
            </w:pPr>
          </w:p>
        </w:tc>
        <w:tc>
          <w:tcPr>
            <w:tcW w:w="2580" w:type="dxa"/>
            <w:tcBorders>
              <w:top w:val="nil"/>
              <w:left w:val="nil"/>
              <w:bottom w:val="nil"/>
              <w:right w:val="nil"/>
            </w:tcBorders>
            <w:shd w:val="clear" w:color="auto" w:fill="auto"/>
            <w:noWrap/>
            <w:vAlign w:val="center"/>
          </w:tcPr>
          <w:p w14:paraId="0D6DB3E8">
            <w:pPr>
              <w:rPr>
                <w:rFonts w:hint="eastAsia" w:ascii="宋体" w:hAnsi="宋体" w:eastAsia="宋体" w:cs="宋体"/>
                <w:i w:val="0"/>
                <w:iCs w:val="0"/>
                <w:color w:val="auto"/>
                <w:sz w:val="22"/>
                <w:szCs w:val="22"/>
                <w:u w:val="none"/>
              </w:rPr>
            </w:pPr>
          </w:p>
        </w:tc>
      </w:tr>
      <w:tr w14:paraId="491F7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55" w:type="dxa"/>
            <w:tcBorders>
              <w:top w:val="nil"/>
              <w:left w:val="nil"/>
              <w:bottom w:val="nil"/>
              <w:right w:val="nil"/>
            </w:tcBorders>
            <w:shd w:val="clear" w:color="auto" w:fill="auto"/>
            <w:noWrap/>
            <w:vAlign w:val="center"/>
          </w:tcPr>
          <w:p w14:paraId="5A3DD86D">
            <w:pPr>
              <w:rPr>
                <w:rFonts w:hint="eastAsia" w:ascii="宋体" w:hAnsi="宋体" w:eastAsia="宋体" w:cs="宋体"/>
                <w:i w:val="0"/>
                <w:iCs w:val="0"/>
                <w:color w:val="auto"/>
                <w:sz w:val="22"/>
                <w:szCs w:val="22"/>
                <w:u w:val="none"/>
              </w:rPr>
            </w:pPr>
          </w:p>
        </w:tc>
        <w:tc>
          <w:tcPr>
            <w:tcW w:w="222" w:type="dxa"/>
            <w:tcBorders>
              <w:top w:val="nil"/>
              <w:left w:val="nil"/>
              <w:bottom w:val="nil"/>
              <w:right w:val="nil"/>
            </w:tcBorders>
            <w:shd w:val="clear" w:color="auto" w:fill="auto"/>
            <w:noWrap/>
            <w:vAlign w:val="center"/>
          </w:tcPr>
          <w:p w14:paraId="039B575A">
            <w:pPr>
              <w:rPr>
                <w:rFonts w:hint="eastAsia" w:ascii="宋体" w:hAnsi="宋体" w:eastAsia="宋体" w:cs="宋体"/>
                <w:i w:val="0"/>
                <w:iCs w:val="0"/>
                <w:color w:val="auto"/>
                <w:sz w:val="22"/>
                <w:szCs w:val="22"/>
                <w:u w:val="none"/>
              </w:rPr>
            </w:pPr>
          </w:p>
        </w:tc>
        <w:tc>
          <w:tcPr>
            <w:tcW w:w="1803" w:type="dxa"/>
            <w:tcBorders>
              <w:top w:val="nil"/>
              <w:left w:val="nil"/>
              <w:bottom w:val="nil"/>
              <w:right w:val="nil"/>
            </w:tcBorders>
            <w:shd w:val="clear" w:color="auto" w:fill="auto"/>
            <w:noWrap/>
            <w:vAlign w:val="center"/>
          </w:tcPr>
          <w:p w14:paraId="10B2DF26">
            <w:pPr>
              <w:rPr>
                <w:rFonts w:hint="eastAsia" w:ascii="宋体" w:hAnsi="宋体" w:eastAsia="宋体" w:cs="宋体"/>
                <w:i w:val="0"/>
                <w:iCs w:val="0"/>
                <w:color w:val="auto"/>
                <w:sz w:val="22"/>
                <w:szCs w:val="22"/>
                <w:u w:val="none"/>
              </w:rPr>
            </w:pPr>
          </w:p>
        </w:tc>
        <w:tc>
          <w:tcPr>
            <w:tcW w:w="2577" w:type="dxa"/>
            <w:tcBorders>
              <w:top w:val="nil"/>
              <w:left w:val="nil"/>
              <w:bottom w:val="nil"/>
              <w:right w:val="nil"/>
            </w:tcBorders>
            <w:shd w:val="clear" w:color="auto" w:fill="auto"/>
            <w:noWrap/>
            <w:vAlign w:val="center"/>
          </w:tcPr>
          <w:p w14:paraId="6D753028">
            <w:pPr>
              <w:rPr>
                <w:rFonts w:hint="eastAsia" w:ascii="宋体" w:hAnsi="宋体" w:eastAsia="宋体" w:cs="宋体"/>
                <w:i w:val="0"/>
                <w:iCs w:val="0"/>
                <w:color w:val="auto"/>
                <w:sz w:val="22"/>
                <w:szCs w:val="22"/>
                <w:u w:val="none"/>
              </w:rPr>
            </w:pPr>
          </w:p>
        </w:tc>
        <w:tc>
          <w:tcPr>
            <w:tcW w:w="2580" w:type="dxa"/>
            <w:tcBorders>
              <w:top w:val="nil"/>
              <w:left w:val="nil"/>
              <w:bottom w:val="nil"/>
              <w:right w:val="nil"/>
            </w:tcBorders>
            <w:shd w:val="clear" w:color="auto" w:fill="auto"/>
            <w:noWrap/>
            <w:vAlign w:val="center"/>
          </w:tcPr>
          <w:p w14:paraId="6424F155">
            <w:pPr>
              <w:rPr>
                <w:rFonts w:hint="eastAsia" w:ascii="宋体" w:hAnsi="宋体" w:eastAsia="宋体" w:cs="宋体"/>
                <w:i w:val="0"/>
                <w:iCs w:val="0"/>
                <w:color w:val="auto"/>
                <w:sz w:val="22"/>
                <w:szCs w:val="22"/>
                <w:u w:val="none"/>
              </w:rPr>
            </w:pPr>
          </w:p>
        </w:tc>
      </w:tr>
      <w:tr w14:paraId="1B2CE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55" w:type="dxa"/>
            <w:tcBorders>
              <w:top w:val="nil"/>
              <w:left w:val="nil"/>
              <w:bottom w:val="nil"/>
              <w:right w:val="nil"/>
            </w:tcBorders>
            <w:shd w:val="clear" w:color="auto" w:fill="auto"/>
            <w:noWrap/>
            <w:vAlign w:val="center"/>
          </w:tcPr>
          <w:p w14:paraId="602482C3">
            <w:pPr>
              <w:rPr>
                <w:rFonts w:hint="eastAsia" w:ascii="宋体" w:hAnsi="宋体" w:eastAsia="宋体" w:cs="宋体"/>
                <w:i w:val="0"/>
                <w:iCs w:val="0"/>
                <w:color w:val="auto"/>
                <w:sz w:val="22"/>
                <w:szCs w:val="22"/>
                <w:u w:val="none"/>
              </w:rPr>
            </w:pPr>
          </w:p>
        </w:tc>
        <w:tc>
          <w:tcPr>
            <w:tcW w:w="222" w:type="dxa"/>
            <w:tcBorders>
              <w:top w:val="nil"/>
              <w:left w:val="nil"/>
              <w:bottom w:val="nil"/>
              <w:right w:val="nil"/>
            </w:tcBorders>
            <w:shd w:val="clear" w:color="auto" w:fill="auto"/>
            <w:noWrap/>
            <w:vAlign w:val="center"/>
          </w:tcPr>
          <w:p w14:paraId="63A649F9">
            <w:pPr>
              <w:rPr>
                <w:rFonts w:hint="eastAsia" w:ascii="宋体" w:hAnsi="宋体" w:eastAsia="宋体" w:cs="宋体"/>
                <w:i w:val="0"/>
                <w:iCs w:val="0"/>
                <w:color w:val="auto"/>
                <w:sz w:val="22"/>
                <w:szCs w:val="22"/>
                <w:u w:val="none"/>
              </w:rPr>
            </w:pPr>
          </w:p>
        </w:tc>
        <w:tc>
          <w:tcPr>
            <w:tcW w:w="1803" w:type="dxa"/>
            <w:tcBorders>
              <w:top w:val="nil"/>
              <w:left w:val="nil"/>
              <w:bottom w:val="nil"/>
              <w:right w:val="nil"/>
            </w:tcBorders>
            <w:shd w:val="clear" w:color="auto" w:fill="auto"/>
            <w:noWrap/>
            <w:vAlign w:val="center"/>
          </w:tcPr>
          <w:p w14:paraId="4A155FEE">
            <w:pPr>
              <w:rPr>
                <w:rFonts w:hint="eastAsia" w:ascii="宋体" w:hAnsi="宋体" w:eastAsia="宋体" w:cs="宋体"/>
                <w:i w:val="0"/>
                <w:iCs w:val="0"/>
                <w:color w:val="auto"/>
                <w:sz w:val="22"/>
                <w:szCs w:val="22"/>
                <w:u w:val="none"/>
              </w:rPr>
            </w:pPr>
          </w:p>
        </w:tc>
        <w:tc>
          <w:tcPr>
            <w:tcW w:w="2577" w:type="dxa"/>
            <w:tcBorders>
              <w:top w:val="nil"/>
              <w:left w:val="nil"/>
              <w:bottom w:val="nil"/>
              <w:right w:val="nil"/>
            </w:tcBorders>
            <w:shd w:val="clear" w:color="auto" w:fill="auto"/>
            <w:noWrap/>
            <w:vAlign w:val="center"/>
          </w:tcPr>
          <w:p w14:paraId="480B3ECE">
            <w:pPr>
              <w:rPr>
                <w:rFonts w:hint="eastAsia" w:ascii="宋体" w:hAnsi="宋体" w:eastAsia="宋体" w:cs="宋体"/>
                <w:i w:val="0"/>
                <w:iCs w:val="0"/>
                <w:color w:val="auto"/>
                <w:sz w:val="22"/>
                <w:szCs w:val="22"/>
                <w:u w:val="none"/>
              </w:rPr>
            </w:pPr>
          </w:p>
        </w:tc>
        <w:tc>
          <w:tcPr>
            <w:tcW w:w="2580" w:type="dxa"/>
            <w:tcBorders>
              <w:top w:val="nil"/>
              <w:left w:val="nil"/>
              <w:bottom w:val="nil"/>
              <w:right w:val="nil"/>
            </w:tcBorders>
            <w:shd w:val="clear" w:color="auto" w:fill="auto"/>
            <w:noWrap/>
            <w:vAlign w:val="center"/>
          </w:tcPr>
          <w:p w14:paraId="677CF20C">
            <w:pPr>
              <w:rPr>
                <w:rFonts w:hint="eastAsia" w:ascii="宋体" w:hAnsi="宋体" w:eastAsia="宋体" w:cs="宋体"/>
                <w:i w:val="0"/>
                <w:iCs w:val="0"/>
                <w:color w:val="auto"/>
                <w:sz w:val="22"/>
                <w:szCs w:val="22"/>
                <w:u w:val="none"/>
              </w:rPr>
            </w:pPr>
          </w:p>
        </w:tc>
      </w:tr>
      <w:tr w14:paraId="4E377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755" w:type="dxa"/>
            <w:tcBorders>
              <w:top w:val="nil"/>
              <w:left w:val="nil"/>
              <w:bottom w:val="nil"/>
              <w:right w:val="nil"/>
            </w:tcBorders>
            <w:shd w:val="clear" w:color="auto" w:fill="auto"/>
            <w:noWrap/>
            <w:vAlign w:val="center"/>
          </w:tcPr>
          <w:p w14:paraId="380A0AA1">
            <w:pPr>
              <w:rPr>
                <w:rFonts w:hint="eastAsia" w:ascii="宋体" w:hAnsi="宋体" w:eastAsia="宋体" w:cs="宋体"/>
                <w:i w:val="0"/>
                <w:iCs w:val="0"/>
                <w:color w:val="auto"/>
                <w:sz w:val="22"/>
                <w:szCs w:val="22"/>
                <w:u w:val="none"/>
              </w:rPr>
            </w:pPr>
          </w:p>
        </w:tc>
        <w:tc>
          <w:tcPr>
            <w:tcW w:w="222" w:type="dxa"/>
            <w:tcBorders>
              <w:top w:val="nil"/>
              <w:left w:val="nil"/>
              <w:bottom w:val="nil"/>
              <w:right w:val="nil"/>
            </w:tcBorders>
            <w:shd w:val="clear" w:color="auto" w:fill="auto"/>
            <w:noWrap/>
            <w:vAlign w:val="center"/>
          </w:tcPr>
          <w:p w14:paraId="087DA249">
            <w:pPr>
              <w:rPr>
                <w:rFonts w:hint="eastAsia" w:ascii="宋体" w:hAnsi="宋体" w:eastAsia="宋体" w:cs="宋体"/>
                <w:i w:val="0"/>
                <w:iCs w:val="0"/>
                <w:color w:val="auto"/>
                <w:sz w:val="22"/>
                <w:szCs w:val="22"/>
                <w:u w:val="none"/>
              </w:rPr>
            </w:pPr>
          </w:p>
        </w:tc>
        <w:tc>
          <w:tcPr>
            <w:tcW w:w="1803" w:type="dxa"/>
            <w:tcBorders>
              <w:top w:val="nil"/>
              <w:left w:val="nil"/>
              <w:bottom w:val="nil"/>
              <w:right w:val="nil"/>
            </w:tcBorders>
            <w:shd w:val="clear" w:color="auto" w:fill="auto"/>
            <w:noWrap/>
            <w:vAlign w:val="center"/>
          </w:tcPr>
          <w:p w14:paraId="131D55CA">
            <w:pPr>
              <w:rPr>
                <w:rFonts w:hint="eastAsia" w:ascii="宋体" w:hAnsi="宋体" w:eastAsia="宋体" w:cs="宋体"/>
                <w:i w:val="0"/>
                <w:iCs w:val="0"/>
                <w:color w:val="auto"/>
                <w:sz w:val="22"/>
                <w:szCs w:val="22"/>
                <w:u w:val="none"/>
              </w:rPr>
            </w:pPr>
          </w:p>
        </w:tc>
        <w:tc>
          <w:tcPr>
            <w:tcW w:w="5157" w:type="dxa"/>
            <w:gridSpan w:val="2"/>
            <w:tcBorders>
              <w:top w:val="nil"/>
              <w:left w:val="nil"/>
              <w:bottom w:val="nil"/>
              <w:right w:val="nil"/>
            </w:tcBorders>
            <w:shd w:val="clear" w:color="auto" w:fill="auto"/>
            <w:noWrap/>
            <w:vAlign w:val="center"/>
          </w:tcPr>
          <w:p w14:paraId="7C6189E8">
            <w:pPr>
              <w:keepNext w:val="0"/>
              <w:keepLines w:val="0"/>
              <w:widowControl/>
              <w:suppressLineNumbers w:val="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报价单位：  </w:t>
            </w:r>
          </w:p>
        </w:tc>
      </w:tr>
      <w:tr w14:paraId="1C3E3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755" w:type="dxa"/>
            <w:tcBorders>
              <w:top w:val="nil"/>
              <w:left w:val="nil"/>
              <w:bottom w:val="nil"/>
              <w:right w:val="nil"/>
            </w:tcBorders>
            <w:shd w:val="clear" w:color="auto" w:fill="auto"/>
            <w:noWrap/>
            <w:vAlign w:val="center"/>
          </w:tcPr>
          <w:p w14:paraId="2628D2E0">
            <w:pPr>
              <w:rPr>
                <w:rFonts w:hint="eastAsia" w:ascii="宋体" w:hAnsi="宋体" w:eastAsia="宋体" w:cs="宋体"/>
                <w:i w:val="0"/>
                <w:iCs w:val="0"/>
                <w:color w:val="auto"/>
                <w:sz w:val="22"/>
                <w:szCs w:val="22"/>
                <w:u w:val="none"/>
              </w:rPr>
            </w:pPr>
          </w:p>
        </w:tc>
        <w:tc>
          <w:tcPr>
            <w:tcW w:w="222" w:type="dxa"/>
            <w:tcBorders>
              <w:top w:val="nil"/>
              <w:left w:val="nil"/>
              <w:bottom w:val="nil"/>
              <w:right w:val="nil"/>
            </w:tcBorders>
            <w:shd w:val="clear" w:color="auto" w:fill="auto"/>
            <w:noWrap/>
            <w:vAlign w:val="center"/>
          </w:tcPr>
          <w:p w14:paraId="41ECC063">
            <w:pPr>
              <w:rPr>
                <w:rFonts w:hint="eastAsia" w:ascii="宋体" w:hAnsi="宋体" w:eastAsia="宋体" w:cs="宋体"/>
                <w:i w:val="0"/>
                <w:iCs w:val="0"/>
                <w:color w:val="auto"/>
                <w:sz w:val="22"/>
                <w:szCs w:val="22"/>
                <w:u w:val="none"/>
              </w:rPr>
            </w:pPr>
          </w:p>
        </w:tc>
        <w:tc>
          <w:tcPr>
            <w:tcW w:w="1803" w:type="dxa"/>
            <w:tcBorders>
              <w:top w:val="nil"/>
              <w:left w:val="nil"/>
              <w:bottom w:val="nil"/>
              <w:right w:val="nil"/>
            </w:tcBorders>
            <w:shd w:val="clear" w:color="auto" w:fill="auto"/>
            <w:noWrap/>
            <w:vAlign w:val="center"/>
          </w:tcPr>
          <w:p w14:paraId="1E2C8EA3">
            <w:pPr>
              <w:rPr>
                <w:rFonts w:hint="eastAsia" w:ascii="宋体" w:hAnsi="宋体" w:eastAsia="宋体" w:cs="宋体"/>
                <w:i w:val="0"/>
                <w:iCs w:val="0"/>
                <w:color w:val="auto"/>
                <w:sz w:val="22"/>
                <w:szCs w:val="22"/>
                <w:u w:val="none"/>
              </w:rPr>
            </w:pPr>
          </w:p>
        </w:tc>
        <w:tc>
          <w:tcPr>
            <w:tcW w:w="5157" w:type="dxa"/>
            <w:gridSpan w:val="2"/>
            <w:tcBorders>
              <w:top w:val="nil"/>
              <w:left w:val="nil"/>
              <w:bottom w:val="nil"/>
              <w:right w:val="nil"/>
            </w:tcBorders>
            <w:shd w:val="clear" w:color="auto" w:fill="auto"/>
            <w:noWrap/>
            <w:vAlign w:val="center"/>
          </w:tcPr>
          <w:p w14:paraId="0963CF8C">
            <w:pPr>
              <w:keepNext w:val="0"/>
              <w:keepLines w:val="0"/>
              <w:widowControl/>
              <w:suppressLineNumbers w:val="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联系人：        电话：  </w:t>
            </w:r>
          </w:p>
        </w:tc>
      </w:tr>
      <w:tr w14:paraId="78F05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755" w:type="dxa"/>
            <w:tcBorders>
              <w:top w:val="nil"/>
              <w:left w:val="nil"/>
              <w:bottom w:val="nil"/>
              <w:right w:val="nil"/>
            </w:tcBorders>
            <w:shd w:val="clear" w:color="auto" w:fill="auto"/>
            <w:noWrap/>
            <w:vAlign w:val="center"/>
          </w:tcPr>
          <w:p w14:paraId="54CF244D">
            <w:pPr>
              <w:rPr>
                <w:rFonts w:hint="eastAsia" w:ascii="宋体" w:hAnsi="宋体" w:eastAsia="宋体" w:cs="宋体"/>
                <w:i w:val="0"/>
                <w:iCs w:val="0"/>
                <w:color w:val="auto"/>
                <w:sz w:val="22"/>
                <w:szCs w:val="22"/>
                <w:u w:val="none"/>
              </w:rPr>
            </w:pPr>
          </w:p>
        </w:tc>
        <w:tc>
          <w:tcPr>
            <w:tcW w:w="222" w:type="dxa"/>
            <w:tcBorders>
              <w:top w:val="nil"/>
              <w:left w:val="nil"/>
              <w:bottom w:val="nil"/>
              <w:right w:val="nil"/>
            </w:tcBorders>
            <w:shd w:val="clear" w:color="auto" w:fill="auto"/>
            <w:noWrap/>
            <w:vAlign w:val="center"/>
          </w:tcPr>
          <w:p w14:paraId="59CED3F6">
            <w:pPr>
              <w:rPr>
                <w:rFonts w:hint="eastAsia" w:ascii="宋体" w:hAnsi="宋体" w:eastAsia="宋体" w:cs="宋体"/>
                <w:i w:val="0"/>
                <w:iCs w:val="0"/>
                <w:color w:val="auto"/>
                <w:sz w:val="22"/>
                <w:szCs w:val="22"/>
                <w:u w:val="none"/>
              </w:rPr>
            </w:pPr>
          </w:p>
        </w:tc>
        <w:tc>
          <w:tcPr>
            <w:tcW w:w="1803" w:type="dxa"/>
            <w:tcBorders>
              <w:top w:val="nil"/>
              <w:left w:val="nil"/>
              <w:bottom w:val="nil"/>
              <w:right w:val="nil"/>
            </w:tcBorders>
            <w:shd w:val="clear" w:color="auto" w:fill="auto"/>
            <w:noWrap/>
            <w:vAlign w:val="center"/>
          </w:tcPr>
          <w:p w14:paraId="4F14F87E">
            <w:pPr>
              <w:rPr>
                <w:rFonts w:hint="eastAsia" w:ascii="宋体" w:hAnsi="宋体" w:eastAsia="宋体" w:cs="宋体"/>
                <w:i w:val="0"/>
                <w:iCs w:val="0"/>
                <w:color w:val="auto"/>
                <w:sz w:val="22"/>
                <w:szCs w:val="22"/>
                <w:u w:val="none"/>
              </w:rPr>
            </w:pPr>
          </w:p>
        </w:tc>
        <w:tc>
          <w:tcPr>
            <w:tcW w:w="5157" w:type="dxa"/>
            <w:gridSpan w:val="2"/>
            <w:tcBorders>
              <w:top w:val="nil"/>
              <w:left w:val="nil"/>
              <w:bottom w:val="nil"/>
              <w:right w:val="nil"/>
            </w:tcBorders>
            <w:shd w:val="clear" w:color="auto" w:fill="auto"/>
            <w:noWrap/>
            <w:vAlign w:val="center"/>
          </w:tcPr>
          <w:p w14:paraId="0079E333">
            <w:pPr>
              <w:keepNext w:val="0"/>
              <w:keepLines w:val="0"/>
              <w:widowControl/>
              <w:suppressLineNumbers w:val="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日期： </w:t>
            </w:r>
          </w:p>
        </w:tc>
      </w:tr>
    </w:tbl>
    <w:p w14:paraId="7C279E10">
      <w:pPr>
        <w:pStyle w:val="3"/>
        <w:rPr>
          <w:rFonts w:hint="eastAsia" w:ascii="宋体" w:hAnsi="宋体" w:eastAsia="宋体" w:cs="宋体"/>
          <w:color w:val="auto"/>
          <w:sz w:val="20"/>
          <w:szCs w:val="20"/>
          <w:highlight w:val="none"/>
          <w:lang w:val="zh-CN" w:eastAsia="zh-CN" w:bidi="zh-CN"/>
        </w:rPr>
      </w:pPr>
    </w:p>
    <w:p w14:paraId="760C19D7">
      <w:pPr>
        <w:pStyle w:val="12"/>
        <w:ind w:left="0" w:leftChars="0" w:firstLine="0" w:firstLineChars="0"/>
        <w:jc w:val="both"/>
        <w:rPr>
          <w:rFonts w:hint="eastAsia" w:ascii="宋体" w:hAnsi="宋体" w:eastAsia="宋体" w:cs="宋体"/>
          <w:color w:val="auto"/>
          <w:sz w:val="20"/>
          <w:szCs w:val="20"/>
          <w:highlight w:val="none"/>
          <w:lang w:val="zh-CN" w:eastAsia="zh-CN" w:bidi="zh-CN"/>
        </w:rPr>
      </w:pPr>
    </w:p>
    <w:p w14:paraId="0DDD654D">
      <w:pPr>
        <w:rPr>
          <w:rFonts w:hint="eastAsia"/>
          <w:color w:val="auto"/>
          <w:lang w:val="zh-CN" w:eastAsia="zh-CN"/>
        </w:rPr>
      </w:pPr>
    </w:p>
    <w:p w14:paraId="1E3454A0">
      <w:pPr>
        <w:rPr>
          <w:rFonts w:hint="eastAsia" w:ascii="宋体" w:hAnsi="宋体" w:eastAsia="宋体" w:cs="宋体"/>
          <w:color w:val="auto"/>
          <w:sz w:val="20"/>
          <w:szCs w:val="20"/>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7C86C774">
      <w:pPr>
        <w:widowControl/>
        <w:spacing w:line="357" w:lineRule="atLeast"/>
        <w:ind w:firstLine="525"/>
        <w:textAlignment w:val="baseline"/>
        <w:rPr>
          <w:rFonts w:hint="eastAsia" w:ascii="Times New Roman" w:hAnsi="Calibri" w:eastAsia="Times New Roman" w:cs="Times New Roman"/>
          <w:color w:val="auto"/>
          <w:sz w:val="28"/>
          <w:szCs w:val="22"/>
          <w:lang w:val="en-US" w:eastAsia="zh-CN" w:bidi="ar-SA"/>
        </w:rPr>
      </w:pPr>
    </w:p>
    <w:p w14:paraId="40D62C43">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4" w:name="_Toc24321"/>
      <w:r>
        <w:rPr>
          <w:rFonts w:hint="eastAsia" w:ascii="宋体" w:hAnsi="宋体" w:eastAsia="宋体" w:cs="宋体"/>
          <w:b/>
          <w:bCs/>
          <w:color w:val="auto"/>
          <w:kern w:val="0"/>
          <w:sz w:val="32"/>
          <w:szCs w:val="32"/>
          <w:highlight w:val="none"/>
          <w:lang w:val="en-US" w:eastAsia="zh-CN"/>
        </w:rPr>
        <w:t>第四部分  评选办法</w:t>
      </w:r>
      <w:bookmarkEnd w:id="14"/>
    </w:p>
    <w:p w14:paraId="4E3EE267">
      <w:pPr>
        <w:widowControl/>
        <w:numPr>
          <w:ilvl w:val="0"/>
          <w:numId w:val="0"/>
        </w:numPr>
        <w:adjustRightInd w:val="0"/>
        <w:snapToGrid w:val="0"/>
        <w:spacing w:line="360" w:lineRule="auto"/>
        <w:jc w:val="both"/>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本次</w:t>
      </w: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采用</w:t>
      </w:r>
      <w:r>
        <w:rPr>
          <w:rFonts w:hint="eastAsia" w:ascii="宋体" w:hAnsi="宋体" w:eastAsia="宋体" w:cs="宋体"/>
          <w:color w:val="auto"/>
          <w:kern w:val="0"/>
          <w:sz w:val="28"/>
          <w:szCs w:val="28"/>
          <w:highlight w:val="none"/>
          <w:lang w:eastAsia="zh-CN"/>
        </w:rPr>
        <w:t>：</w:t>
      </w:r>
    </w:p>
    <w:p w14:paraId="26728118">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1、</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w:t>
      </w:r>
    </w:p>
    <w:p w14:paraId="07C2EF72">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，是指</w:t>
      </w:r>
      <w:r>
        <w:rPr>
          <w:rFonts w:hint="eastAsia" w:ascii="宋体" w:hAnsi="宋体" w:eastAsia="宋体" w:cs="宋体"/>
          <w:color w:val="auto"/>
          <w:kern w:val="0"/>
          <w:sz w:val="28"/>
          <w:szCs w:val="28"/>
          <w:highlight w:val="none"/>
          <w:lang w:val="en-US" w:eastAsia="zh-CN"/>
        </w:rPr>
        <w:t>响应</w:t>
      </w:r>
      <w:r>
        <w:rPr>
          <w:rFonts w:hint="eastAsia" w:ascii="宋体" w:hAnsi="宋体" w:eastAsia="宋体" w:cs="宋体"/>
          <w:color w:val="auto"/>
          <w:kern w:val="0"/>
          <w:sz w:val="28"/>
          <w:szCs w:val="28"/>
          <w:highlight w:val="none"/>
          <w:lang w:eastAsia="zh-CN"/>
        </w:rPr>
        <w:t>文件满足竞价文件全部实质性要求，且报价最低的</w:t>
      </w:r>
      <w:r>
        <w:rPr>
          <w:rFonts w:hint="eastAsia" w:ascii="宋体" w:hAnsi="宋体" w:eastAsia="宋体" w:cs="宋体"/>
          <w:color w:val="auto"/>
          <w:kern w:val="0"/>
          <w:sz w:val="28"/>
          <w:szCs w:val="28"/>
          <w:highlight w:val="none"/>
          <w:lang w:val="en-US" w:eastAsia="zh-CN"/>
        </w:rPr>
        <w:t>响应人</w:t>
      </w:r>
      <w:r>
        <w:rPr>
          <w:rFonts w:hint="eastAsia" w:ascii="宋体" w:hAnsi="宋体" w:eastAsia="宋体" w:cs="宋体"/>
          <w:color w:val="auto"/>
          <w:kern w:val="0"/>
          <w:sz w:val="28"/>
          <w:szCs w:val="28"/>
          <w:highlight w:val="none"/>
          <w:lang w:eastAsia="zh-CN"/>
        </w:rPr>
        <w:t>为中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候选人的评标方法。</w:t>
      </w:r>
    </w:p>
    <w:p w14:paraId="47FAD43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2)评选步骤：</w:t>
      </w:r>
    </w:p>
    <w:p w14:paraId="4BED4A5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①资格</w:t>
      </w:r>
      <w:r>
        <w:rPr>
          <w:rFonts w:hint="eastAsia" w:ascii="宋体" w:hAnsi="宋体" w:eastAsia="宋体" w:cs="宋体"/>
          <w:color w:val="auto"/>
          <w:kern w:val="0"/>
          <w:sz w:val="28"/>
          <w:szCs w:val="28"/>
          <w:highlight w:val="none"/>
          <w:lang w:val="en-US" w:eastAsia="zh-CN"/>
        </w:rPr>
        <w:t>符合</w:t>
      </w:r>
      <w:r>
        <w:rPr>
          <w:rFonts w:hint="eastAsia" w:ascii="宋体" w:hAnsi="宋体" w:eastAsia="宋体" w:cs="宋体"/>
          <w:color w:val="auto"/>
          <w:kern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kern w:val="0"/>
          <w:sz w:val="28"/>
          <w:szCs w:val="28"/>
          <w:highlight w:val="none"/>
          <w:lang w:val="en-US" w:eastAsia="zh-CN"/>
        </w:rPr>
        <w:t>资格符合</w:t>
      </w:r>
      <w:r>
        <w:rPr>
          <w:rFonts w:hint="eastAsia" w:ascii="宋体" w:hAnsi="宋体" w:eastAsia="宋体" w:cs="宋体"/>
          <w:color w:val="auto"/>
          <w:kern w:val="0"/>
          <w:sz w:val="28"/>
          <w:szCs w:val="28"/>
          <w:highlight w:val="none"/>
          <w:lang w:eastAsia="zh-CN"/>
        </w:rPr>
        <w:t>性审查，以确定其是否满足竞价文件的实质性要求。未通过</w:t>
      </w:r>
      <w:r>
        <w:rPr>
          <w:rFonts w:hint="eastAsia" w:ascii="宋体" w:hAnsi="宋体" w:eastAsia="宋体" w:cs="宋体"/>
          <w:color w:val="auto"/>
          <w:kern w:val="0"/>
          <w:sz w:val="28"/>
          <w:szCs w:val="28"/>
          <w:highlight w:val="none"/>
          <w:lang w:val="en-US" w:eastAsia="zh-CN"/>
        </w:rPr>
        <w:t>资格</w:t>
      </w:r>
      <w:r>
        <w:rPr>
          <w:rFonts w:hint="eastAsia" w:ascii="宋体" w:hAnsi="宋体" w:eastAsia="宋体" w:cs="宋体"/>
          <w:color w:val="auto"/>
          <w:kern w:val="0"/>
          <w:sz w:val="28"/>
          <w:szCs w:val="28"/>
          <w:highlight w:val="none"/>
          <w:lang w:eastAsia="zh-CN"/>
        </w:rPr>
        <w:t>符合性审查的响应人，不进入价格评审。</w:t>
      </w:r>
    </w:p>
    <w:p w14:paraId="024721AA">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③</w:t>
      </w:r>
      <w:r>
        <w:rPr>
          <w:rFonts w:hint="eastAsia" w:ascii="宋体" w:hAnsi="宋体" w:eastAsia="宋体" w:cs="宋体"/>
          <w:color w:val="auto"/>
          <w:kern w:val="0"/>
          <w:sz w:val="28"/>
          <w:szCs w:val="28"/>
          <w:highlight w:val="none"/>
          <w:lang w:eastAsia="zh-CN"/>
        </w:rPr>
        <w:t>价格评审：评</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结果按报价由低到高顺序排列。报价相同的并列，中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候选人并列的，由采购人采取</w:t>
      </w:r>
      <w:r>
        <w:rPr>
          <w:rFonts w:hint="eastAsia" w:ascii="宋体" w:hAnsi="宋体" w:eastAsia="宋体" w:cs="宋体"/>
          <w:color w:val="auto"/>
          <w:kern w:val="0"/>
          <w:sz w:val="28"/>
          <w:szCs w:val="28"/>
          <w:highlight w:val="none"/>
          <w:lang w:val="en-US" w:eastAsia="zh-CN"/>
        </w:rPr>
        <w:t>随机抽取方式</w:t>
      </w:r>
      <w:r>
        <w:rPr>
          <w:rFonts w:hint="eastAsia" w:ascii="宋体" w:hAnsi="宋体" w:eastAsia="宋体" w:cs="宋体"/>
          <w:color w:val="auto"/>
          <w:kern w:val="0"/>
          <w:sz w:val="28"/>
          <w:szCs w:val="28"/>
          <w:highlight w:val="none"/>
          <w:lang w:eastAsia="zh-CN"/>
        </w:rPr>
        <w:t>确定中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人。</w:t>
      </w:r>
    </w:p>
    <w:p w14:paraId="5789D5BC">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eastAsia="zh-CN"/>
        </w:rPr>
        <w:t>2、□综合评估法。具体标准如下：</w:t>
      </w:r>
      <w:r>
        <w:rPr>
          <w:rFonts w:hint="eastAsia" w:ascii="宋体" w:hAnsi="宋体" w:eastAsia="宋体" w:cs="宋体"/>
          <w:color w:val="auto"/>
          <w:kern w:val="0"/>
          <w:sz w:val="28"/>
          <w:szCs w:val="28"/>
          <w:highlight w:val="none"/>
          <w:lang w:val="en-US" w:eastAsia="zh-CN"/>
        </w:rPr>
        <w:t>/</w:t>
      </w:r>
    </w:p>
    <w:p w14:paraId="2BB3F338">
      <w:pPr>
        <w:widowControl/>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F85AF6F">
      <w:pPr>
        <w:widowControl w:val="0"/>
        <w:wordWrap w:val="0"/>
        <w:spacing w:line="440" w:lineRule="exact"/>
        <w:jc w:val="left"/>
        <w:rPr>
          <w:rFonts w:hint="eastAsia" w:ascii="宋体" w:hAnsi="宋体" w:eastAsia="宋体" w:cs="宋体"/>
          <w:b/>
          <w:bCs/>
          <w:color w:val="auto"/>
          <w:kern w:val="2"/>
          <w:sz w:val="32"/>
          <w:szCs w:val="32"/>
          <w:highlight w:val="none"/>
          <w:u w:color="000000"/>
          <w:lang w:val="en-US" w:eastAsia="zh-CN" w:bidi="ar-SA"/>
        </w:rPr>
      </w:pPr>
    </w:p>
    <w:p w14:paraId="13946376">
      <w:pPr>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widowControl/>
        <w:numPr>
          <w:ilvl w:val="0"/>
          <w:numId w:val="2"/>
        </w:numPr>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 xml:space="preserve"> </w:t>
      </w:r>
      <w:bookmarkStart w:id="15" w:name="_Toc20303"/>
      <w:r>
        <w:rPr>
          <w:rFonts w:hint="eastAsia" w:ascii="宋体" w:hAnsi="宋体" w:eastAsia="宋体" w:cs="宋体"/>
          <w:b/>
          <w:bCs/>
          <w:color w:val="auto"/>
          <w:kern w:val="0"/>
          <w:sz w:val="32"/>
          <w:szCs w:val="32"/>
          <w:highlight w:val="none"/>
          <w:lang w:val="en-US" w:eastAsia="zh-CN"/>
        </w:rPr>
        <w:t>合同主要条款</w:t>
      </w:r>
      <w:bookmarkEnd w:id="15"/>
    </w:p>
    <w:p w14:paraId="78EFA175">
      <w:pPr>
        <w:framePr w:w="251" w:h="50" w:hRule="exact" w:wrap="around" w:vAnchor="page" w:hAnchor="page" w:y="1291"/>
        <w:widowControl/>
        <w:wordWrap w:val="0"/>
        <w:spacing w:before="200" w:after="160"/>
        <w:ind w:left="864" w:right="864"/>
        <w:jc w:val="center"/>
        <w:rPr>
          <w:rFonts w:hint="eastAsia" w:ascii="Times New Roman" w:hAnsi="Times New Roman" w:eastAsia="宋体" w:cs="Times New Roman"/>
          <w:i/>
          <w:iCs/>
          <w:color w:val="auto"/>
          <w:kern w:val="0"/>
          <w:sz w:val="21"/>
          <w:szCs w:val="21"/>
          <w:lang w:val="en-US" w:eastAsia="zh-CN" w:bidi="ar-SA"/>
        </w:rPr>
      </w:pPr>
    </w:p>
    <w:p w14:paraId="2C87700D">
      <w:pPr>
        <w:jc w:val="center"/>
        <w:rPr>
          <w:rFonts w:hint="eastAsia" w:ascii="仿宋" w:hAnsi="仿宋" w:eastAsia="仿宋" w:cs="Times New Roman"/>
          <w:b/>
          <w:color w:val="auto"/>
          <w:sz w:val="36"/>
          <w:szCs w:val="36"/>
        </w:rPr>
      </w:pPr>
      <w:r>
        <w:rPr>
          <w:rFonts w:hint="eastAsia" w:ascii="仿宋" w:hAnsi="仿宋" w:eastAsia="仿宋" w:cs="Times New Roman"/>
          <w:b/>
          <w:color w:val="auto"/>
          <w:sz w:val="36"/>
          <w:szCs w:val="36"/>
        </w:rPr>
        <w:t>施工分包合同</w:t>
      </w:r>
    </w:p>
    <w:p w14:paraId="4C1836E8">
      <w:pPr>
        <w:spacing w:line="280" w:lineRule="exact"/>
        <w:ind w:right="630"/>
        <w:jc w:val="right"/>
        <w:rPr>
          <w:rFonts w:hint="eastAsia" w:ascii="仿宋" w:hAnsi="仿宋" w:eastAsia="仿宋" w:cs="Times New Roman"/>
          <w:color w:val="auto"/>
          <w:sz w:val="24"/>
        </w:rPr>
      </w:pPr>
    </w:p>
    <w:p w14:paraId="2DD21645">
      <w:pPr>
        <w:spacing w:line="360" w:lineRule="auto"/>
        <w:ind w:right="0" w:rightChars="0" w:firstLine="4320" w:firstLineChars="1800"/>
        <w:rPr>
          <w:rFonts w:hint="default" w:ascii="仿宋" w:hAnsi="仿宋" w:eastAsia="仿宋" w:cs="Times New Roman"/>
          <w:color w:val="auto"/>
          <w:sz w:val="24"/>
          <w:lang w:val="en-US" w:eastAsia="zh-CN"/>
        </w:rPr>
      </w:pPr>
      <w:r>
        <w:rPr>
          <w:rFonts w:hint="eastAsia" w:ascii="仿宋" w:hAnsi="仿宋" w:eastAsia="仿宋" w:cs="Times New Roman"/>
          <w:color w:val="auto"/>
          <w:sz w:val="24"/>
        </w:rPr>
        <w:t>分包合同编号：</w:t>
      </w:r>
      <w:r>
        <w:rPr>
          <w:rFonts w:hint="eastAsia" w:ascii="仿宋" w:hAnsi="仿宋" w:eastAsia="仿宋" w:cs="Times New Roman"/>
          <w:color w:val="auto"/>
          <w:sz w:val="24"/>
          <w:lang w:val="en-US" w:eastAsia="zh-CN"/>
        </w:rPr>
        <w:t xml:space="preserve">      </w:t>
      </w:r>
    </w:p>
    <w:p w14:paraId="5B51E3E8">
      <w:pPr>
        <w:spacing w:line="360" w:lineRule="auto"/>
        <w:rPr>
          <w:rFonts w:hint="eastAsia" w:ascii="仿宋" w:hAnsi="仿宋" w:eastAsia="仿宋" w:cs="Times New Roman"/>
          <w:color w:val="auto"/>
          <w:sz w:val="24"/>
        </w:rPr>
      </w:pPr>
      <w:r>
        <w:rPr>
          <w:rFonts w:hint="eastAsia" w:ascii="仿宋" w:hAnsi="仿宋" w:eastAsia="仿宋" w:cs="Times New Roman"/>
          <w:color w:val="auto"/>
          <w:sz w:val="24"/>
        </w:rPr>
        <w:t>工程项目：</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 xml:space="preserve">  </w:t>
      </w:r>
    </w:p>
    <w:p w14:paraId="41F41B1B">
      <w:pPr>
        <w:spacing w:line="360" w:lineRule="auto"/>
        <w:rPr>
          <w:rFonts w:hint="eastAsia" w:ascii="仿宋" w:hAnsi="仿宋" w:eastAsia="仿宋" w:cs="Times New Roman"/>
          <w:color w:val="auto"/>
          <w:sz w:val="24"/>
        </w:rPr>
      </w:pPr>
      <w:r>
        <w:rPr>
          <w:rFonts w:hint="eastAsia" w:ascii="仿宋" w:hAnsi="仿宋" w:eastAsia="仿宋" w:cs="Times New Roman"/>
          <w:color w:val="auto"/>
          <w:sz w:val="24"/>
        </w:rPr>
        <w:t>合同段：</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p>
    <w:p w14:paraId="5C9DBC69">
      <w:pPr>
        <w:spacing w:line="360" w:lineRule="auto"/>
        <w:rPr>
          <w:rFonts w:hint="default" w:ascii="仿宋" w:hAnsi="仿宋" w:eastAsia="仿宋" w:cs="Times New Roman"/>
          <w:color w:val="auto"/>
          <w:sz w:val="24"/>
          <w:u w:val="single"/>
          <w:lang w:val="en-US" w:eastAsia="zh-CN"/>
        </w:rPr>
      </w:pPr>
      <w:r>
        <w:rPr>
          <w:rFonts w:hint="eastAsia" w:ascii="仿宋" w:hAnsi="仿宋" w:eastAsia="仿宋" w:cs="Times New Roman"/>
          <w:color w:val="auto"/>
          <w:sz w:val="24"/>
        </w:rPr>
        <w:t>甲方(</w:t>
      </w:r>
      <w:r>
        <w:rPr>
          <w:rFonts w:hint="eastAsia" w:ascii="仿宋" w:hAnsi="仿宋" w:eastAsia="仿宋" w:cs="Times New Roman"/>
          <w:color w:val="auto"/>
          <w:sz w:val="24"/>
          <w:lang w:val="en-US" w:eastAsia="zh-CN"/>
        </w:rPr>
        <w:t>总承包人</w:t>
      </w:r>
      <w:r>
        <w:rPr>
          <w:rFonts w:hint="eastAsia" w:ascii="仿宋" w:hAnsi="仿宋" w:eastAsia="仿宋" w:cs="Times New Roman"/>
          <w:color w:val="auto"/>
          <w:sz w:val="24"/>
        </w:rPr>
        <w:t>) ：</w:t>
      </w:r>
      <w:r>
        <w:rPr>
          <w:rFonts w:hint="eastAsia" w:ascii="仿宋" w:hAnsi="仿宋" w:eastAsia="仿宋" w:cs="Times New Roman"/>
          <w:color w:val="auto"/>
          <w:sz w:val="24"/>
          <w:u w:val="single"/>
          <w:lang w:val="en-US" w:eastAsia="zh-CN"/>
        </w:rPr>
        <w:t xml:space="preserve">         </w:t>
      </w:r>
    </w:p>
    <w:p w14:paraId="242AEDDE">
      <w:pPr>
        <w:spacing w:line="360" w:lineRule="auto"/>
        <w:rPr>
          <w:rFonts w:hint="default" w:ascii="仿宋" w:hAnsi="仿宋" w:eastAsia="仿宋" w:cs="Times New Roman"/>
          <w:color w:val="auto"/>
          <w:sz w:val="24"/>
          <w:lang w:val="en-US" w:eastAsia="zh-CN"/>
        </w:rPr>
      </w:pPr>
      <w:r>
        <w:rPr>
          <w:rFonts w:hint="eastAsia" w:ascii="仿宋" w:hAnsi="仿宋" w:eastAsia="仿宋" w:cs="Times New Roman"/>
          <w:color w:val="auto"/>
          <w:sz w:val="24"/>
        </w:rPr>
        <w:t>乙方(</w:t>
      </w:r>
      <w:r>
        <w:rPr>
          <w:rFonts w:hint="eastAsia" w:ascii="仿宋" w:hAnsi="仿宋" w:eastAsia="仿宋" w:cs="Times New Roman"/>
          <w:color w:val="auto"/>
          <w:sz w:val="24"/>
          <w:lang w:val="en-US" w:eastAsia="zh-CN"/>
        </w:rPr>
        <w:t>分</w:t>
      </w:r>
      <w:r>
        <w:rPr>
          <w:rFonts w:hint="eastAsia" w:ascii="仿宋" w:hAnsi="仿宋" w:eastAsia="仿宋" w:cs="Times New Roman"/>
          <w:color w:val="auto"/>
          <w:sz w:val="24"/>
          <w:lang w:eastAsia="zh-CN"/>
        </w:rPr>
        <w:t>包人</w:t>
      </w:r>
      <w:r>
        <w:rPr>
          <w:rFonts w:hint="eastAsia" w:ascii="仿宋" w:hAnsi="仿宋" w:eastAsia="仿宋" w:cs="Times New Roman"/>
          <w:color w:val="auto"/>
          <w:sz w:val="24"/>
        </w:rPr>
        <w:t>) ：</w:t>
      </w:r>
      <w:r>
        <w:rPr>
          <w:rFonts w:hint="eastAsia" w:ascii="仿宋" w:hAnsi="仿宋" w:eastAsia="仿宋" w:cs="Times New Roman"/>
          <w:color w:val="auto"/>
          <w:sz w:val="24"/>
          <w:u w:val="single"/>
          <w:lang w:val="en-US" w:eastAsia="zh-CN"/>
        </w:rPr>
        <w:t xml:space="preserve">            </w:t>
      </w:r>
    </w:p>
    <w:p w14:paraId="5EA13656">
      <w:pPr>
        <w:spacing w:line="360" w:lineRule="auto"/>
        <w:rPr>
          <w:rFonts w:hint="eastAsia" w:ascii="仿宋" w:hAnsi="仿宋" w:eastAsia="仿宋" w:cs="Times New Roman"/>
          <w:color w:val="auto"/>
          <w:sz w:val="24"/>
        </w:rPr>
      </w:pPr>
    </w:p>
    <w:p w14:paraId="53B19AA2">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依照《中华人民共和国民法典》及其他有关法律、法规和规章，遵循平等、自愿、公平和诚实信用的原则，鉴于甲方与</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（以下简称“业主”）签订《</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合同》（以下简称“主合同”），由乙方承担本标段的部份分项工程，为明确双方</w:t>
      </w:r>
      <w:r>
        <w:rPr>
          <w:rFonts w:hint="eastAsia" w:ascii="仿宋" w:hAnsi="仿宋" w:eastAsia="仿宋" w:cs="Times New Roman"/>
          <w:color w:val="auto"/>
          <w:sz w:val="24"/>
          <w:lang w:val="en-US" w:eastAsia="zh-CN"/>
        </w:rPr>
        <w:t>权利</w:t>
      </w:r>
      <w:r>
        <w:rPr>
          <w:rFonts w:hint="eastAsia" w:ascii="仿宋" w:hAnsi="仿宋" w:eastAsia="仿宋" w:cs="Times New Roman"/>
          <w:color w:val="auto"/>
          <w:sz w:val="24"/>
        </w:rPr>
        <w:t>、</w:t>
      </w:r>
      <w:r>
        <w:rPr>
          <w:rFonts w:hint="eastAsia" w:ascii="仿宋" w:hAnsi="仿宋" w:eastAsia="仿宋" w:cs="Times New Roman"/>
          <w:color w:val="auto"/>
          <w:sz w:val="24"/>
          <w:lang w:val="en-US" w:eastAsia="zh-CN"/>
        </w:rPr>
        <w:t>义务</w:t>
      </w:r>
      <w:r>
        <w:rPr>
          <w:rFonts w:hint="eastAsia" w:ascii="仿宋" w:hAnsi="仿宋" w:eastAsia="仿宋" w:cs="Times New Roman"/>
          <w:color w:val="auto"/>
          <w:sz w:val="24"/>
        </w:rPr>
        <w:t>、</w:t>
      </w:r>
      <w:r>
        <w:rPr>
          <w:rFonts w:hint="eastAsia" w:ascii="仿宋" w:hAnsi="仿宋" w:eastAsia="仿宋" w:cs="Times New Roman"/>
          <w:color w:val="auto"/>
          <w:sz w:val="24"/>
          <w:lang w:val="en-US" w:eastAsia="zh-CN"/>
        </w:rPr>
        <w:t>责任</w:t>
      </w:r>
      <w:r>
        <w:rPr>
          <w:rFonts w:hint="eastAsia" w:ascii="仿宋" w:hAnsi="仿宋" w:eastAsia="仿宋" w:cs="Times New Roman"/>
          <w:color w:val="auto"/>
          <w:sz w:val="24"/>
        </w:rPr>
        <w:t>，甲乙双方就分包专项工程施工事项具体情况，经协商达成一致，订立本合同。</w:t>
      </w:r>
    </w:p>
    <w:p w14:paraId="20A51168">
      <w:pPr>
        <w:spacing w:line="360" w:lineRule="auto"/>
        <w:ind w:firstLine="482" w:firstLineChars="200"/>
        <w:rPr>
          <w:rFonts w:hint="eastAsia" w:ascii="仿宋" w:hAnsi="仿宋" w:eastAsia="仿宋" w:cs="Times New Roman"/>
          <w:color w:val="auto"/>
          <w:sz w:val="24"/>
        </w:rPr>
      </w:pPr>
      <w:r>
        <w:rPr>
          <w:rFonts w:hint="eastAsia" w:ascii="仿宋" w:hAnsi="仿宋" w:eastAsia="仿宋" w:cs="Times New Roman"/>
          <w:b/>
          <w:color w:val="auto"/>
          <w:sz w:val="24"/>
        </w:rPr>
        <w:t>1.</w:t>
      </w:r>
      <w:r>
        <w:rPr>
          <w:rFonts w:hint="eastAsia" w:ascii="仿宋" w:hAnsi="仿宋" w:eastAsia="仿宋" w:cs="Times New Roman"/>
          <w:b/>
          <w:color w:val="auto"/>
          <w:sz w:val="24"/>
          <w:lang w:val="en-US" w:eastAsia="zh-CN"/>
        </w:rPr>
        <w:t>分</w:t>
      </w:r>
      <w:r>
        <w:rPr>
          <w:rFonts w:hint="eastAsia" w:ascii="仿宋" w:hAnsi="仿宋" w:eastAsia="仿宋" w:cs="Times New Roman"/>
          <w:b/>
          <w:color w:val="auto"/>
          <w:sz w:val="24"/>
          <w:lang w:eastAsia="zh-CN"/>
        </w:rPr>
        <w:t>包人</w:t>
      </w:r>
      <w:r>
        <w:rPr>
          <w:rFonts w:hint="eastAsia" w:ascii="仿宋" w:hAnsi="仿宋" w:eastAsia="仿宋" w:cs="Times New Roman"/>
          <w:b/>
          <w:color w:val="auto"/>
          <w:sz w:val="24"/>
        </w:rPr>
        <w:t>情况</w:t>
      </w:r>
    </w:p>
    <w:p w14:paraId="67D64821">
      <w:pPr>
        <w:spacing w:line="360" w:lineRule="auto"/>
        <w:ind w:firstLine="480" w:firstLineChars="200"/>
        <w:jc w:val="left"/>
        <w:rPr>
          <w:rFonts w:hint="eastAsia" w:ascii="仿宋" w:hAnsi="仿宋" w:eastAsia="仿宋" w:cs="Times New Roman"/>
          <w:color w:val="auto"/>
          <w:sz w:val="24"/>
        </w:rPr>
      </w:pPr>
      <w:r>
        <w:rPr>
          <w:rFonts w:hint="eastAsia" w:ascii="仿宋" w:hAnsi="仿宋" w:eastAsia="仿宋" w:cs="Times New Roman"/>
          <w:color w:val="auto"/>
          <w:sz w:val="24"/>
        </w:rPr>
        <w:t>1.1</w:t>
      </w:r>
      <w:r>
        <w:rPr>
          <w:rFonts w:hint="eastAsia" w:ascii="仿宋" w:hAnsi="仿宋" w:eastAsia="仿宋" w:cs="Times New Roman"/>
          <w:color w:val="auto"/>
          <w:sz w:val="24"/>
          <w:lang w:val="en-US" w:eastAsia="zh-CN"/>
        </w:rPr>
        <w:t>总承</w:t>
      </w:r>
      <w:r>
        <w:rPr>
          <w:rFonts w:hint="eastAsia" w:ascii="仿宋" w:hAnsi="仿宋" w:eastAsia="仿宋" w:cs="Times New Roman"/>
          <w:color w:val="auto"/>
          <w:sz w:val="24"/>
          <w:lang w:eastAsia="zh-CN"/>
        </w:rPr>
        <w:t>包人</w:t>
      </w:r>
      <w:r>
        <w:rPr>
          <w:rFonts w:hint="eastAsia" w:ascii="仿宋" w:hAnsi="仿宋" w:eastAsia="仿宋" w:cs="Times New Roman"/>
          <w:color w:val="auto"/>
          <w:sz w:val="24"/>
        </w:rPr>
        <w:t>名称：</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；注册地址：</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w:t>
      </w:r>
    </w:p>
    <w:p w14:paraId="21C86247">
      <w:pPr>
        <w:spacing w:line="360" w:lineRule="auto"/>
        <w:ind w:firstLine="720" w:firstLineChars="300"/>
        <w:jc w:val="left"/>
        <w:rPr>
          <w:rFonts w:hint="eastAsia" w:ascii="仿宋" w:hAnsi="仿宋" w:eastAsia="仿宋" w:cs="Times New Roman"/>
          <w:color w:val="auto"/>
          <w:sz w:val="24"/>
        </w:rPr>
      </w:pPr>
      <w:r>
        <w:rPr>
          <w:rFonts w:hint="eastAsia" w:ascii="仿宋" w:hAnsi="仿宋" w:eastAsia="仿宋" w:cs="Times New Roman"/>
          <w:color w:val="auto"/>
          <w:sz w:val="24"/>
        </w:rPr>
        <w:t>法定代表人姓名：</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，职称：</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，职务：</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w:t>
      </w:r>
    </w:p>
    <w:p w14:paraId="1CF801F7">
      <w:pPr>
        <w:spacing w:line="360" w:lineRule="auto"/>
        <w:ind w:left="719" w:leftChars="228" w:hanging="240" w:hangingChars="100"/>
        <w:rPr>
          <w:rFonts w:hint="eastAsia" w:ascii="仿宋" w:hAnsi="仿宋" w:eastAsia="仿宋" w:cs="Times New Roman"/>
          <w:color w:val="auto"/>
          <w:sz w:val="24"/>
        </w:rPr>
      </w:pPr>
      <w:r>
        <w:rPr>
          <w:rFonts w:hint="eastAsia" w:ascii="仿宋" w:hAnsi="仿宋" w:eastAsia="仿宋" w:cs="Times New Roman"/>
          <w:color w:val="auto"/>
          <w:sz w:val="24"/>
        </w:rPr>
        <w:t>1.2分包项目负责人姓名</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，职称：</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，资格：</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w:t>
      </w:r>
    </w:p>
    <w:p w14:paraId="101B7848">
      <w:pPr>
        <w:spacing w:line="360" w:lineRule="auto"/>
        <w:ind w:left="719" w:leftChars="228" w:hanging="240" w:hangingChars="100"/>
        <w:rPr>
          <w:rFonts w:hint="eastAsia" w:ascii="仿宋" w:hAnsi="仿宋" w:eastAsia="仿宋" w:cs="Times New Roman"/>
          <w:color w:val="auto"/>
          <w:sz w:val="24"/>
        </w:rPr>
      </w:pPr>
      <w:r>
        <w:rPr>
          <w:rFonts w:hint="eastAsia" w:ascii="仿宋" w:hAnsi="仿宋" w:eastAsia="仿宋" w:cs="Times New Roman"/>
          <w:color w:val="auto"/>
          <w:sz w:val="24"/>
        </w:rPr>
        <w:t>分包技术负责人姓名：</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，职称：</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，资格：</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w:t>
      </w:r>
    </w:p>
    <w:p w14:paraId="4E462136">
      <w:pPr>
        <w:spacing w:before="156" w:beforeLines="50" w:line="360" w:lineRule="auto"/>
        <w:ind w:firstLine="482" w:firstLineChars="200"/>
        <w:jc w:val="left"/>
        <w:rPr>
          <w:rFonts w:hint="eastAsia" w:ascii="仿宋" w:hAnsi="仿宋" w:eastAsia="仿宋" w:cs="Times New Roman"/>
          <w:b/>
          <w:color w:val="auto"/>
          <w:sz w:val="24"/>
        </w:rPr>
      </w:pPr>
      <w:r>
        <w:rPr>
          <w:rFonts w:hint="eastAsia" w:ascii="仿宋" w:hAnsi="仿宋" w:eastAsia="仿宋" w:cs="Times New Roman"/>
          <w:b/>
          <w:color w:val="auto"/>
          <w:sz w:val="24"/>
        </w:rPr>
        <w:t>2.分包专项工程概况</w:t>
      </w:r>
    </w:p>
    <w:p w14:paraId="4A5279C7">
      <w:pPr>
        <w:spacing w:line="360" w:lineRule="auto"/>
        <w:ind w:firstLine="480" w:firstLineChars="200"/>
        <w:rPr>
          <w:rFonts w:hint="default" w:ascii="仿宋" w:hAnsi="仿宋" w:eastAsia="仿宋" w:cs="Times New Roman"/>
          <w:color w:val="auto"/>
          <w:sz w:val="24"/>
          <w:lang w:val="en-US" w:eastAsia="zh-CN"/>
        </w:rPr>
      </w:pPr>
      <w:r>
        <w:rPr>
          <w:rFonts w:hint="eastAsia" w:ascii="仿宋" w:hAnsi="仿宋" w:eastAsia="仿宋" w:cs="Times New Roman"/>
          <w:color w:val="auto"/>
          <w:sz w:val="24"/>
        </w:rPr>
        <w:t>2.1分包专项工程名称及地点：</w:t>
      </w:r>
      <w:r>
        <w:rPr>
          <w:rFonts w:hint="eastAsia" w:ascii="仿宋" w:hAnsi="仿宋" w:eastAsia="仿宋" w:cs="Times New Roman"/>
          <w:color w:val="auto"/>
          <w:sz w:val="24"/>
          <w:u w:val="single"/>
          <w:lang w:val="en-US" w:eastAsia="zh-CN"/>
        </w:rPr>
        <w:t xml:space="preserve">         </w:t>
      </w:r>
    </w:p>
    <w:p w14:paraId="0CC9ED9B">
      <w:pPr>
        <w:spacing w:line="360" w:lineRule="auto"/>
        <w:ind w:firstLine="480" w:firstLineChars="200"/>
        <w:rPr>
          <w:rFonts w:hint="default" w:ascii="仿宋" w:hAnsi="仿宋" w:eastAsia="仿宋" w:cs="Times New Roman"/>
          <w:color w:val="auto"/>
          <w:sz w:val="24"/>
          <w:u w:val="single"/>
          <w:lang w:val="en-US" w:eastAsia="zh-CN"/>
        </w:rPr>
      </w:pPr>
      <w:r>
        <w:rPr>
          <w:rFonts w:hint="eastAsia" w:ascii="仿宋" w:hAnsi="仿宋" w:eastAsia="仿宋" w:cs="Times New Roman"/>
          <w:color w:val="auto"/>
          <w:sz w:val="24"/>
        </w:rPr>
        <w:t>2.2 分包专项工程范围、内容：</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p>
    <w:p w14:paraId="7AF6F7E9">
      <w:pPr>
        <w:spacing w:line="360" w:lineRule="auto"/>
        <w:ind w:firstLine="480" w:firstLineChars="200"/>
        <w:rPr>
          <w:rFonts w:hint="eastAsia" w:ascii="仿宋" w:hAnsi="仿宋" w:eastAsia="仿宋" w:cs="Times New Roman"/>
          <w:b/>
          <w:color w:val="auto"/>
          <w:sz w:val="24"/>
        </w:rPr>
      </w:pPr>
      <w:r>
        <w:rPr>
          <w:rFonts w:hint="eastAsia" w:ascii="仿宋" w:hAnsi="仿宋" w:eastAsia="仿宋" w:cs="Times New Roman"/>
          <w:color w:val="auto"/>
          <w:sz w:val="24"/>
        </w:rPr>
        <w:t>2.2.1分包范围和工作内容：负责完成</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施工作业。具体工程数量见</w:t>
      </w:r>
      <w:bookmarkStart w:id="16" w:name="OLE_LINK1"/>
      <w:r>
        <w:rPr>
          <w:rFonts w:hint="eastAsia" w:ascii="仿宋" w:hAnsi="仿宋" w:eastAsia="仿宋" w:cs="Times New Roman"/>
          <w:color w:val="auto"/>
          <w:sz w:val="24"/>
        </w:rPr>
        <w:t>附</w:t>
      </w:r>
      <w:bookmarkEnd w:id="16"/>
      <w:r>
        <w:rPr>
          <w:rFonts w:hint="eastAsia" w:ascii="仿宋" w:hAnsi="仿宋" w:eastAsia="仿宋" w:cs="Times New Roman"/>
          <w:color w:val="auto"/>
          <w:sz w:val="24"/>
        </w:rPr>
        <w:t>表1：《分包专项工程工程量清单》，清单数量为暂定数量，实际数量按业主批复内实际完成数量且经甲乙双方确认的结算数量为准。</w:t>
      </w:r>
      <w:r>
        <w:rPr>
          <w:rFonts w:hint="eastAsia" w:ascii="仿宋" w:hAnsi="仿宋" w:eastAsia="仿宋" w:cs="Times New Roman"/>
          <w:b/>
          <w:color w:val="auto"/>
          <w:sz w:val="24"/>
        </w:rPr>
        <w:t>中间计量及最终结算应由甲方项目经理签字并加盖公章，非上述人员签字盖章的，甲方不予认可。</w:t>
      </w:r>
    </w:p>
    <w:p w14:paraId="1A8C653B">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2.2.2 乙方负责按本合同约定的分包范围内除甲方负责外的一切施工作业。包括但不限于从进场施工准备、施工全过程到完工交验，缺陷责任期内属乙方缺陷责任的缺陷修复到竣工验收所需的全部施工工作，以及完成前述工作所需的内、外业管理、相关的地方协调工作和必要的未列入清单的临时工程等。</w:t>
      </w:r>
    </w:p>
    <w:p w14:paraId="7AEB6464">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2.3 分包方式：</w:t>
      </w:r>
    </w:p>
    <w:p w14:paraId="13567055">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2.3.1本合同采用分项清单综合单价包干的分包方式，综合单价见附表1：《分包专项工程工程量清单》中的单价为准，工程数量按照本合同计量、支付和结算条款确定。</w:t>
      </w:r>
    </w:p>
    <w:p w14:paraId="102B98EC">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2.3.2乙方不得以任何形式对本合同工程进行分包、</w:t>
      </w:r>
      <w:r>
        <w:rPr>
          <w:rFonts w:hint="eastAsia" w:ascii="仿宋" w:hAnsi="仿宋" w:eastAsia="仿宋" w:cs="Times New Roman"/>
          <w:color w:val="auto"/>
          <w:sz w:val="24"/>
          <w:lang w:eastAsia="zh-CN"/>
        </w:rPr>
        <w:t>发包</w:t>
      </w:r>
      <w:r>
        <w:rPr>
          <w:rFonts w:hint="eastAsia" w:ascii="仿宋" w:hAnsi="仿宋" w:eastAsia="仿宋" w:cs="Times New Roman"/>
          <w:color w:val="auto"/>
          <w:sz w:val="24"/>
        </w:rPr>
        <w:t>。</w:t>
      </w:r>
    </w:p>
    <w:p w14:paraId="20C51185">
      <w:pPr>
        <w:spacing w:before="156" w:beforeLines="50" w:line="360" w:lineRule="auto"/>
        <w:ind w:firstLine="482" w:firstLineChars="200"/>
        <w:jc w:val="left"/>
        <w:rPr>
          <w:rFonts w:hint="eastAsia" w:ascii="仿宋" w:hAnsi="仿宋" w:eastAsia="仿宋" w:cs="Times New Roman"/>
          <w:b/>
          <w:color w:val="auto"/>
          <w:sz w:val="24"/>
        </w:rPr>
      </w:pPr>
      <w:r>
        <w:rPr>
          <w:rFonts w:hint="eastAsia" w:ascii="仿宋" w:hAnsi="仿宋" w:eastAsia="仿宋" w:cs="Times New Roman"/>
          <w:b/>
          <w:color w:val="auto"/>
          <w:sz w:val="24"/>
        </w:rPr>
        <w:t>3.分包合同有关款项</w:t>
      </w:r>
    </w:p>
    <w:p w14:paraId="57D869FE">
      <w:pPr>
        <w:spacing w:line="360" w:lineRule="auto"/>
        <w:ind w:firstLine="482" w:firstLineChars="200"/>
        <w:rPr>
          <w:rFonts w:hint="eastAsia" w:ascii="仿宋" w:hAnsi="仿宋" w:eastAsia="仿宋" w:cs="Times New Roman"/>
          <w:b/>
          <w:color w:val="auto"/>
          <w:sz w:val="24"/>
        </w:rPr>
      </w:pPr>
      <w:r>
        <w:rPr>
          <w:rFonts w:hint="eastAsia" w:ascii="仿宋" w:hAnsi="仿宋" w:eastAsia="仿宋" w:cs="Times New Roman"/>
          <w:b/>
          <w:color w:val="auto"/>
          <w:sz w:val="24"/>
        </w:rPr>
        <w:t>3.1 分包价款</w:t>
      </w:r>
    </w:p>
    <w:p w14:paraId="0ECEAC95">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3.1.1本合同为固定综合单价合同，合同暂定总价为人民币</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元（大写：</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），其中不含增值税总价</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元（大写：</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），增值税</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元（大写：</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），增值税按不含增值税总价的</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w:t>
      </w:r>
      <w:r>
        <w:rPr>
          <w:rFonts w:hint="eastAsia" w:ascii="仿宋" w:hAnsi="仿宋" w:eastAsia="仿宋" w:cs="Times New Roman"/>
          <w:color w:val="auto"/>
          <w:sz w:val="24"/>
        </w:rPr>
        <w:t>单列</w:t>
      </w:r>
      <w:r>
        <w:rPr>
          <w:rStyle w:val="10"/>
          <w:rFonts w:hint="eastAsia" w:ascii="仿宋" w:hAnsi="仿宋" w:eastAsia="仿宋" w:cs="宋体"/>
          <w:b w:val="0"/>
          <w:color w:val="auto"/>
          <w:sz w:val="24"/>
        </w:rPr>
        <w:t>（增值税税率随国家政策和适用税率同步调整）</w:t>
      </w:r>
      <w:r>
        <w:rPr>
          <w:rFonts w:hint="eastAsia" w:ascii="仿宋" w:hAnsi="仿宋" w:eastAsia="仿宋" w:cs="Times New Roman"/>
          <w:color w:val="auto"/>
          <w:sz w:val="24"/>
        </w:rPr>
        <w:t>；本合同暂定总价不作为双方最终结算的依据。合同单价和暂估数量见附表1：《分包专项工程工程量清单》。实际合同总价根据乙方实际完成，由甲方确认并经监理人签认的数量按本合同后附清单所列固定单价进行计算，并结合本合同条款进行结算支付。</w:t>
      </w:r>
    </w:p>
    <w:p w14:paraId="16383994">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3.1.2上述合同单价已包括了乙方为实施和完成上述工程量清单细目内容及其附属工作及缺陷修复工作所发生的一切费用，以及合同明示或暗示的一切风险、责任和义务。涉及工程量清单中未列的子目，其费用参照总包合同相关计量有关条款办理。</w:t>
      </w:r>
    </w:p>
    <w:p w14:paraId="7113B19C">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3.1.3 本合同劳务计价清单综合单价和不含增值税总价包括：人工费、机械费、材料费（甲供部分除外）、保险费、管理费、利润、除增值税以外的一切税费［包括但不限于为实施本合同应缴纳的企业所得税、个人所得税、印花税、资源税、城市维护建设税、教育费附加、地方教育附加、堤围防护费等），以及施工点安全维护、保证自身人员安全设施的费用。本合同综合单价已经充分考虑了各种可能影响正常施工的因素以及市场风险，除甲乙双方协商一致签订书面变更协议外，本合同综合单价不因任何原因而调整。</w:t>
      </w:r>
    </w:p>
    <w:p w14:paraId="52CD8380">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因工程变更导致新的工程项目出现时，变更部分工程的综合单价按以下原则确定：</w:t>
      </w:r>
    </w:p>
    <w:p w14:paraId="7A01C25C">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3.1.4 变更工程项目在附表1：《分包专项工程工程量清单》中有相对应项目的，套用附表1《分包专项工程工程量清单》中相应项目的综合单价执行。</w:t>
      </w:r>
    </w:p>
    <w:p w14:paraId="41D1E124">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3.1.5变更工程项目在附表1《分包专项工程工程量清单》中没有相对应项目的，以经双方确认的该项目的成本加合理的利润、税金作为综合单价。</w:t>
      </w:r>
    </w:p>
    <w:p w14:paraId="3BA6C644">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3.1.6当乙方在甲方要求下实施合同清单外的项目即变更工程或者本合同实际施工的数量已经超过合同清单数量时，甲乙双方必须签订补充协议。</w:t>
      </w:r>
    </w:p>
    <w:p w14:paraId="1AA8B8E4">
      <w:pPr>
        <w:spacing w:line="360" w:lineRule="auto"/>
        <w:ind w:firstLine="482" w:firstLineChars="200"/>
        <w:rPr>
          <w:rFonts w:hint="eastAsia" w:ascii="仿宋" w:hAnsi="仿宋" w:eastAsia="仿宋" w:cs="Times New Roman"/>
          <w:b/>
          <w:color w:val="auto"/>
          <w:sz w:val="24"/>
        </w:rPr>
      </w:pPr>
      <w:r>
        <w:rPr>
          <w:rFonts w:hint="eastAsia" w:ascii="仿宋" w:hAnsi="仿宋" w:eastAsia="仿宋" w:cs="Times New Roman"/>
          <w:b/>
          <w:color w:val="auto"/>
          <w:sz w:val="24"/>
        </w:rPr>
        <w:t>3.2履约保函或保留金：</w:t>
      </w:r>
    </w:p>
    <w:p w14:paraId="04BFBFA8">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3.2.1乙方与甲方签订合同后的</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天内，应向甲方交纳</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：（a 履约保函；b履约保证金），即：</w:t>
      </w:r>
    </w:p>
    <w:p w14:paraId="3247F4EE">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a.分包合同价的</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％履约保函。</w:t>
      </w:r>
    </w:p>
    <w:p w14:paraId="1D406D17">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b.分包合同价的</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％保留金计</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元。</w:t>
      </w:r>
    </w:p>
    <w:p w14:paraId="765278B1">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3.2.2乙方严格履行了本合同规定的各项事宜，施工任务如期完工，工程质量达到甲方向发包人承诺的质量要求，无安全责任事故发生，未遗留各种纠纷，在本合同履行完毕后，给予全额退还保留金，否则甲方继续扣留或扣除部分或全部保留金。</w:t>
      </w:r>
    </w:p>
    <w:p w14:paraId="5E9986EB">
      <w:pPr>
        <w:spacing w:line="360" w:lineRule="auto"/>
        <w:ind w:firstLine="482" w:firstLineChars="200"/>
        <w:rPr>
          <w:rFonts w:hint="eastAsia" w:ascii="仿宋" w:hAnsi="仿宋" w:eastAsia="仿宋" w:cs="Times New Roman"/>
          <w:b/>
          <w:color w:val="auto"/>
          <w:sz w:val="24"/>
        </w:rPr>
      </w:pPr>
      <w:r>
        <w:rPr>
          <w:rFonts w:hint="eastAsia" w:ascii="仿宋" w:hAnsi="仿宋" w:eastAsia="仿宋" w:cs="Times New Roman"/>
          <w:b/>
          <w:color w:val="auto"/>
          <w:sz w:val="24"/>
        </w:rPr>
        <w:t>3.3有关本分包专项工程款项约定</w:t>
      </w:r>
    </w:p>
    <w:p w14:paraId="5EFD4FC6">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3.3.1若在缺陷责任期内发生涉及乙方施工项目的维修费用，则由乙方全额承担，并在保留金中扣除。</w:t>
      </w:r>
    </w:p>
    <w:p w14:paraId="2DDD0184">
      <w:pPr>
        <w:spacing w:line="360" w:lineRule="auto"/>
        <w:ind w:firstLine="480" w:firstLineChars="200"/>
        <w:rPr>
          <w:rFonts w:hint="eastAsia" w:ascii="仿宋" w:hAnsi="仿宋" w:eastAsia="仿宋" w:cs="Times New Roman"/>
          <w:bCs/>
          <w:color w:val="auto"/>
          <w:sz w:val="24"/>
        </w:rPr>
      </w:pPr>
      <w:r>
        <w:rPr>
          <w:rFonts w:hint="eastAsia" w:ascii="仿宋" w:hAnsi="仿宋" w:eastAsia="仿宋" w:cs="Times New Roman"/>
          <w:color w:val="auto"/>
          <w:sz w:val="24"/>
        </w:rPr>
        <w:t>3.3.2安全生产费用按总包合同的专用条款的规定进行计量支付，按实投入使用，</w:t>
      </w:r>
      <w:r>
        <w:rPr>
          <w:rFonts w:hint="eastAsia" w:ascii="仿宋" w:hAnsi="仿宋" w:eastAsia="仿宋" w:cs="Times New Roman"/>
          <w:bCs/>
          <w:color w:val="auto"/>
          <w:sz w:val="24"/>
        </w:rPr>
        <w:t>承建工程竣工后，最终由甲乙双方结算。</w:t>
      </w:r>
    </w:p>
    <w:p w14:paraId="77AADF20">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3.3.3农民工工资支付保证金按项目专用条款或发包人规定的比例在计量支付时提取，在乙方项目完工并出具无拖欠农民工工资承诺后退还。</w:t>
      </w:r>
    </w:p>
    <w:p w14:paraId="712DF984">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3.3.4本合同约定的所有保证金、保留金等到期无争议需要返还的，均不计利息。</w:t>
      </w:r>
    </w:p>
    <w:p w14:paraId="24AE4EF0">
      <w:pPr>
        <w:spacing w:before="156" w:beforeLines="50" w:line="360" w:lineRule="auto"/>
        <w:ind w:firstLine="482" w:firstLineChars="200"/>
        <w:rPr>
          <w:rFonts w:hint="eastAsia" w:ascii="仿宋" w:hAnsi="仿宋" w:eastAsia="仿宋" w:cs="Times New Roman"/>
          <w:color w:val="auto"/>
          <w:sz w:val="24"/>
        </w:rPr>
      </w:pPr>
      <w:r>
        <w:rPr>
          <w:rFonts w:hint="eastAsia" w:ascii="仿宋" w:hAnsi="仿宋" w:eastAsia="仿宋" w:cs="Times New Roman"/>
          <w:b/>
          <w:color w:val="auto"/>
          <w:sz w:val="24"/>
        </w:rPr>
        <w:t>4．双方责任</w:t>
      </w:r>
    </w:p>
    <w:p w14:paraId="1C058F41">
      <w:pPr>
        <w:adjustRightInd w:val="0"/>
        <w:snapToGrid w:val="0"/>
        <w:spacing w:line="360" w:lineRule="auto"/>
        <w:ind w:firstLine="482" w:firstLineChars="200"/>
        <w:rPr>
          <w:rFonts w:hint="eastAsia" w:ascii="仿宋" w:hAnsi="仿宋" w:eastAsia="仿宋" w:cs="Times New Roman"/>
          <w:b/>
          <w:color w:val="auto"/>
          <w:sz w:val="24"/>
        </w:rPr>
      </w:pPr>
      <w:r>
        <w:rPr>
          <w:rFonts w:hint="eastAsia" w:ascii="仿宋" w:hAnsi="仿宋" w:eastAsia="仿宋" w:cs="Times New Roman"/>
          <w:b/>
          <w:color w:val="auto"/>
          <w:sz w:val="24"/>
        </w:rPr>
        <w:t>4.1甲方的责任：</w:t>
      </w:r>
    </w:p>
    <w:p w14:paraId="7F47844B">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4.1.1负责协调与业主和有关单位的关系。</w:t>
      </w:r>
    </w:p>
    <w:p w14:paraId="07A2B10F">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4.1.2负责提供有关的图纸，技术规范，提供合格的控制桩和水准点，做好施工技术交底和工程验收工作。</w:t>
      </w:r>
    </w:p>
    <w:p w14:paraId="1F0E8BE1">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4.1.3负责按时提供为完成本合同约定的分项工程所需的原材料、半成品料、周转材料等由甲方负责的事项，验收乙方自购材料质量。</w:t>
      </w:r>
    </w:p>
    <w:p w14:paraId="71A274B7">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4.1.4负责本标段的控制测量，提交合格的控制点给乙方；组建工地试验室，负责试验室来样的试验工作，取样、试块制作等工作乙方有义务配合。</w:t>
      </w:r>
    </w:p>
    <w:p w14:paraId="7B1773C5">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4.1.5按合同要求进行计量、结算、支付。</w:t>
      </w:r>
    </w:p>
    <w:p w14:paraId="6D64AAC8">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4.1.6对乙方的工程质量、安全、进度、工程款进行严格的监督控制，派施工员负责现场协调管理、工程验收等工作。</w:t>
      </w:r>
    </w:p>
    <w:p w14:paraId="5073FF04">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4.1.7执行本分包合同条款，依据项目总体施工组织设计对其施工全过程统一指挥与管理，组织施工调度会及生产例会，下达生产计划，合理安排乙方的各项工作。</w:t>
      </w:r>
    </w:p>
    <w:p w14:paraId="0F0AD6E9">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4.1.8安全生产管理责任按本合同第10条和《安全生产协议》《安全生产责任书》执行。</w:t>
      </w:r>
    </w:p>
    <w:p w14:paraId="300F444D">
      <w:pPr>
        <w:adjustRightInd w:val="0"/>
        <w:snapToGrid w:val="0"/>
        <w:spacing w:line="360" w:lineRule="auto"/>
        <w:ind w:firstLine="482" w:firstLineChars="200"/>
        <w:rPr>
          <w:rFonts w:hint="eastAsia" w:ascii="仿宋" w:hAnsi="仿宋" w:eastAsia="仿宋" w:cs="Times New Roman"/>
          <w:b/>
          <w:color w:val="auto"/>
          <w:sz w:val="24"/>
        </w:rPr>
      </w:pPr>
      <w:r>
        <w:rPr>
          <w:rFonts w:hint="eastAsia" w:ascii="仿宋" w:hAnsi="仿宋" w:eastAsia="仿宋" w:cs="Times New Roman"/>
          <w:b/>
          <w:color w:val="auto"/>
          <w:sz w:val="24"/>
        </w:rPr>
        <w:t>4.2乙方的责任：</w:t>
      </w:r>
    </w:p>
    <w:p w14:paraId="5EABB698">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4.2.1按甲方的要求配备相应的机械和人员，服从甲方的调度指挥，完成合同范围的施工任务。</w:t>
      </w:r>
    </w:p>
    <w:p w14:paraId="101BF28B">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乙方需成立健全的组织机构，配备“项目经理、现场副经理、总工”以及“工程技术、测量、安全质量、环保、物资、设备、计量、财务、试验”等相应管理和技术人员，主要人员资质需符合甲方要求。乙方应将组织机构及人员情况（需注明姓名、性别、年龄、职务、职称、学历证书、从业资格证书、业绩、身份证号码、电话号码等）报送甲方备案，同时按甲方要求提供相应证件供建设、监理单位核查，并在施工中保持稳定。施工过程中，接受甲方对相关人员的考核和评估，对认定为不适合的管理人员，限期内执行完毕甲方的更换指令。除甲方更换指令外，不得随意变更，如有更换，必须事先征得甲方书面同意。</w:t>
      </w:r>
    </w:p>
    <w:p w14:paraId="1548394A">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乙方应根据工程要求配备试验人员。中心试验室由甲方负责建设，并申报合格资质，负责本合同段的需要中心试验室负责的试验、检测工作；乙方自行购置现场试验检测器具并完成本段内现场试验检测工作；乙方的外委试验费用由乙方自行承担；乙方需负责本合同工程业主发试验表格费用，发生金额由甲方代扣。</w:t>
      </w:r>
    </w:p>
    <w:p w14:paraId="3A1EF773">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乙方主要管理人员（项目负责人、技术负责人）必须坚守工地，严格请销假制度，未经甲方同意，乙方主要人员擅离工作岗位，处以</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元/人</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日的</w:t>
      </w:r>
      <w:r>
        <w:rPr>
          <w:rFonts w:hint="eastAsia" w:ascii="仿宋" w:hAnsi="仿宋" w:eastAsia="仿宋" w:cs="Times New Roman"/>
          <w:color w:val="auto"/>
          <w:sz w:val="24"/>
          <w:lang w:val="en-US" w:eastAsia="zh-CN"/>
        </w:rPr>
        <w:t>违约金</w:t>
      </w:r>
      <w:r>
        <w:rPr>
          <w:rFonts w:hint="eastAsia" w:ascii="仿宋" w:hAnsi="仿宋" w:eastAsia="仿宋" w:cs="Times New Roman"/>
          <w:color w:val="auto"/>
          <w:sz w:val="24"/>
        </w:rPr>
        <w:t>。</w:t>
      </w:r>
    </w:p>
    <w:p w14:paraId="666D29DB">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服从甲方管理，参加甲方组织的各种工程施工会议和甲方开展的工程管理活动，否则，甲方有权</w:t>
      </w:r>
      <w:r>
        <w:rPr>
          <w:rFonts w:hint="eastAsia" w:ascii="仿宋" w:hAnsi="仿宋" w:eastAsia="仿宋" w:cs="Times New Roman"/>
          <w:color w:val="auto"/>
          <w:sz w:val="24"/>
          <w:lang w:val="en-US" w:eastAsia="zh-CN"/>
        </w:rPr>
        <w:t>要求</w:t>
      </w:r>
      <w:r>
        <w:rPr>
          <w:rFonts w:hint="eastAsia" w:ascii="仿宋" w:hAnsi="仿宋" w:eastAsia="仿宋" w:cs="Times New Roman"/>
          <w:color w:val="auto"/>
          <w:sz w:val="24"/>
        </w:rPr>
        <w:t>乙方</w:t>
      </w:r>
      <w:r>
        <w:rPr>
          <w:rFonts w:hint="eastAsia" w:ascii="仿宋" w:hAnsi="仿宋" w:eastAsia="仿宋" w:cs="Times New Roman"/>
          <w:color w:val="auto"/>
          <w:sz w:val="24"/>
          <w:lang w:val="en-US" w:eastAsia="zh-CN"/>
        </w:rPr>
        <w:t>支付违约金</w:t>
      </w:r>
      <w:r>
        <w:rPr>
          <w:rFonts w:hint="eastAsia" w:ascii="仿宋" w:hAnsi="仿宋" w:eastAsia="仿宋" w:cs="Times New Roman"/>
          <w:color w:val="auto"/>
          <w:sz w:val="24"/>
        </w:rPr>
        <w:t>。</w:t>
      </w:r>
    </w:p>
    <w:p w14:paraId="312EA7F8">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在施工中及时按甲方要求调整生产要素，并在规定时间内上报各种文件、资料和报表。</w:t>
      </w:r>
    </w:p>
    <w:p w14:paraId="6CD77F5A">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4.2.2严格按图纸和技术规范施工，确保质量、进度符合要求。</w:t>
      </w:r>
    </w:p>
    <w:p w14:paraId="67E295FB">
      <w:pPr>
        <w:adjustRightInd w:val="0"/>
        <w:snapToGrid w:val="0"/>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4.2.3接受监理工程师和有关质量监督部门对工程质量的监督检查；负责做好迎接各项检查的现场准备工作，其费用已包含在清单单价中。检查中如被批评、处罚，责任和费用全部由乙方承担。</w:t>
      </w:r>
    </w:p>
    <w:p w14:paraId="70279DA3">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4.2.4施工过程中做好原始资料的记录和数据整理，及时移交给甲方，配合甲方做好竣工资料。</w:t>
      </w:r>
    </w:p>
    <w:p w14:paraId="17DBBB24">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乙方应积极配合甲方进行结算，及时提供相应资料，因“乙方原因造成计量不能按时批复”或者“建设单位资金不足”，工程款支付不到位，乙方必须自行解决资金问题，确保工期目标的实现，并承担全部责任。</w:t>
      </w:r>
    </w:p>
    <w:p w14:paraId="76A34CE5">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4.2.5对于甲供材，乙方领料用料必须办理相应的领料用料手续，领取、装卸、运输、仓储等全部费用，由乙方自行承担。如报价中含材料价，领用的材料款从工程款中扣回。每月结算时，配合甲方进行甲供料的核算，并按合同条款的约定承担全部费用。所有材料损耗率必须控制在允许的范围内，否则将在当期工程计量中扣除。</w:t>
      </w:r>
    </w:p>
    <w:p w14:paraId="78141B40">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4.2.6自购的材料必须符合甲方要求，并按甲方要求办理相关手续。施工图纸、技术规范有技术标准要求的自购材料，乙方必须通知甲方验收合格方可使用。</w:t>
      </w:r>
    </w:p>
    <w:p w14:paraId="161B530D">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4.2.7负责本合同附表1《分包专项工程工程量清单》规定的施工用水、用电及驻地和施工必要的临时工程建设。合同工程完工后，乙方应立即进行现场清理、清除不用的设备、多余材料、建筑垃圾以及各种临时设施，保持现场的整洁、美观，费用已包含在清单综合单价中。如乙方未按要求进行清理恢复或虽进行了清理恢复但未达到地方规定或合同约定的标准，甲方有权自行或委托第三方对其进行清理恢复，所发生的费用将从应付给乙方的任何款项内扣除，并有权对乙方实施经济处罚。在施工过程中如乙方员工发生交通事故及其他治安原因所造成乙方员工或第三方人员伤亡事故，由乙方负责承担一切后果及所有费用。</w:t>
      </w:r>
    </w:p>
    <w:p w14:paraId="5B41236C">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4.2.8安全生产管理责任按本合同第10条和《安全生产协议》《安全生产责任书》执行。</w:t>
      </w:r>
    </w:p>
    <w:p w14:paraId="16B00B6D">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4.2.9负责本段的控制点以外的测量工作及试验辅助工作，提供相关现场内业资料，并接受甲方的监督、检查、指导。</w:t>
      </w:r>
    </w:p>
    <w:p w14:paraId="7A3776EE">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4.2.10负责协调本施工段的地方关系。地方治安协调费及农民工调配管理费等由乙方承担。</w:t>
      </w:r>
    </w:p>
    <w:p w14:paraId="0503F84F">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4.2.11乙方须按国家有关规定和劳动合同的约定，每月按时向其所管理的员工发放工资，并将发放记录报甲方施工项目部备案。详见本合同第11条劳动关系管理条款。</w:t>
      </w:r>
    </w:p>
    <w:p w14:paraId="42762DA6">
      <w:pPr>
        <w:adjustRightInd w:val="0"/>
        <w:snapToGrid w:val="0"/>
        <w:spacing w:line="360" w:lineRule="auto"/>
        <w:ind w:left="120" w:leftChars="57"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4.2.12应满足甲方安全管理体系的要求。其费用已包含在清单单价中，如乙方不能按照甲方的要求实施，甲方将扣除该部分费用，其费用占合同总价的1%。</w:t>
      </w:r>
    </w:p>
    <w:p w14:paraId="3B17AFD2">
      <w:pPr>
        <w:spacing w:line="360" w:lineRule="auto"/>
        <w:ind w:firstLine="480" w:firstLineChars="200"/>
        <w:jc w:val="left"/>
        <w:rPr>
          <w:rFonts w:hint="eastAsia" w:ascii="仿宋" w:hAnsi="仿宋" w:eastAsia="仿宋" w:cs="Times New Roman"/>
          <w:color w:val="auto"/>
          <w:sz w:val="24"/>
        </w:rPr>
      </w:pPr>
      <w:r>
        <w:rPr>
          <w:rFonts w:hint="eastAsia" w:ascii="仿宋" w:hAnsi="仿宋" w:eastAsia="仿宋" w:cs="Times New Roman"/>
          <w:color w:val="auto"/>
          <w:sz w:val="24"/>
        </w:rPr>
        <w:t>4.2.13乙方必须自费为其在本工程雇用的员工办理意外险、工伤保险及社会劳动保险等。详见本合同第12条保险条款。</w:t>
      </w:r>
    </w:p>
    <w:p w14:paraId="4E9F9A0D">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4.2.14乙方在施工过程中，必须做好有效的环境保护措施， 详见本合同第13.5条文明施工条款。</w:t>
      </w:r>
    </w:p>
    <w:p w14:paraId="5905CA4E">
      <w:pPr>
        <w:spacing w:line="360" w:lineRule="auto"/>
        <w:ind w:firstLine="480" w:firstLineChars="200"/>
        <w:jc w:val="left"/>
        <w:rPr>
          <w:rFonts w:hint="eastAsia" w:ascii="仿宋" w:hAnsi="仿宋" w:eastAsia="仿宋" w:cs="Times New Roman"/>
          <w:color w:val="auto"/>
          <w:sz w:val="24"/>
        </w:rPr>
      </w:pPr>
      <w:r>
        <w:rPr>
          <w:rFonts w:hint="eastAsia" w:ascii="仿宋" w:hAnsi="仿宋" w:eastAsia="仿宋" w:cs="Times New Roman"/>
          <w:color w:val="auto"/>
          <w:sz w:val="24"/>
        </w:rPr>
        <w:t>4.2.15乙方应自行组织工程施工，不得将工程</w:t>
      </w:r>
      <w:r>
        <w:rPr>
          <w:rFonts w:hint="eastAsia" w:ascii="仿宋" w:hAnsi="仿宋" w:eastAsia="仿宋" w:cs="Times New Roman"/>
          <w:color w:val="auto"/>
          <w:sz w:val="24"/>
          <w:lang w:eastAsia="zh-CN"/>
        </w:rPr>
        <w:t>发包</w:t>
      </w:r>
      <w:r>
        <w:rPr>
          <w:rFonts w:hint="eastAsia" w:ascii="仿宋" w:hAnsi="仿宋" w:eastAsia="仿宋" w:cs="Times New Roman"/>
          <w:color w:val="auto"/>
          <w:sz w:val="24"/>
        </w:rPr>
        <w:t>或分包，否则甲方有权终止合同，乙方承担违约责任。</w:t>
      </w:r>
    </w:p>
    <w:p w14:paraId="28E5EFA5">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乙方负责本合同承包范围内工程的实施、完成及缺陷修复等工作并承担相应费用，接受甲方的领导、整体协调以及施工中的监督、指令、检查。</w:t>
      </w:r>
    </w:p>
    <w:p w14:paraId="1B6AC646">
      <w:pPr>
        <w:spacing w:line="360" w:lineRule="auto"/>
        <w:ind w:firstLine="480" w:firstLineChars="200"/>
        <w:jc w:val="left"/>
        <w:rPr>
          <w:rFonts w:hint="eastAsia" w:ascii="仿宋" w:hAnsi="仿宋" w:eastAsia="仿宋" w:cs="Times New Roman"/>
          <w:color w:val="auto"/>
          <w:sz w:val="24"/>
        </w:rPr>
      </w:pPr>
      <w:r>
        <w:rPr>
          <w:rFonts w:hint="eastAsia" w:ascii="仿宋" w:hAnsi="仿宋" w:eastAsia="仿宋" w:cs="Times New Roman"/>
          <w:color w:val="auto"/>
          <w:sz w:val="24"/>
        </w:rPr>
        <w:t>缺陷责任期及缺陷责任期的工程维护依据业主规定，质量保修金依据业主规定；乙方需负责施工资料及竣工资料的收集整理，并及时上报甲方；责任期内，工程需要维修时，乙方应负责维修施工用的照明、看守围栏和警示等防护设施，并对所造成的环境污染或道路损毁等全部费用负责。</w:t>
      </w:r>
    </w:p>
    <w:p w14:paraId="40D0164E">
      <w:pPr>
        <w:spacing w:line="360" w:lineRule="auto"/>
        <w:ind w:firstLine="480" w:firstLineChars="200"/>
        <w:jc w:val="left"/>
        <w:rPr>
          <w:rFonts w:hint="eastAsia" w:ascii="仿宋" w:hAnsi="仿宋" w:eastAsia="仿宋" w:cs="Times New Roman"/>
          <w:color w:val="auto"/>
          <w:sz w:val="24"/>
        </w:rPr>
      </w:pPr>
      <w:r>
        <w:rPr>
          <w:rFonts w:hint="eastAsia" w:ascii="仿宋" w:hAnsi="仿宋" w:eastAsia="仿宋" w:cs="Times New Roman"/>
          <w:color w:val="auto"/>
          <w:sz w:val="24"/>
        </w:rPr>
        <w:t>乙方应</w:t>
      </w:r>
      <w:r>
        <w:rPr>
          <w:rFonts w:hint="eastAsia" w:ascii="仿宋" w:hAnsi="仿宋" w:eastAsia="仿宋" w:cs="Times New Roman"/>
          <w:color w:val="auto"/>
          <w:sz w:val="24"/>
          <w:lang w:val="en-US" w:eastAsia="zh-CN"/>
        </w:rPr>
        <w:t>严格</w:t>
      </w:r>
      <w:r>
        <w:rPr>
          <w:rFonts w:hint="eastAsia" w:ascii="仿宋" w:hAnsi="仿宋" w:eastAsia="仿宋" w:cs="Times New Roman"/>
          <w:color w:val="auto"/>
          <w:sz w:val="24"/>
        </w:rPr>
        <w:t>地按合同文件规定承担本合同工程的实施、完成、维护及缺陷的修复；甲方不承担任何停工及窝工损失费；由于建设单位原因造成的停工或窝工，乙方配合甲方向建设单位争取费用补偿。</w:t>
      </w:r>
    </w:p>
    <w:p w14:paraId="37826281">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4.2.16乙方委派专人（有乙方的授权委托书）与甲方办理各种涉及合同、经济、财务等方面的手续。</w:t>
      </w:r>
    </w:p>
    <w:p w14:paraId="40D3EFB2">
      <w:pPr>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4.2.17乙方可以直接雇用农民工，但必须依法签订用工合同，并将“工人用工合同”及“工人花名册”报甲方备案。乙方按照法律、法规和劳务用工合同按时支付劳务工资，落实各项劳动保护措施。承担拖欠农民工工资所引发的全部法律及经济责任。</w:t>
      </w:r>
    </w:p>
    <w:p w14:paraId="0CDA42BC">
      <w:pPr>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4.2.18乙方接受甲方按相关规定向乙方开出的违约金，甲方可直接从“认为合适”的任何一个“期中支付月份”中“应付工程款中”直接扣除。甲方向乙方开出的任何违约金将导致乙方最终的应得结算价款相应地减少。</w:t>
      </w:r>
    </w:p>
    <w:p w14:paraId="1C043CD6">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4.2.19乙方在施工中与第三方产生的债权债务及纠纷等问题由乙方自行负责处理，并承担全部责任和费用。</w:t>
      </w:r>
    </w:p>
    <w:p w14:paraId="599386B7">
      <w:pPr>
        <w:spacing w:line="400" w:lineRule="exact"/>
        <w:ind w:firstLine="480" w:firstLineChars="200"/>
        <w:jc w:val="left"/>
        <w:rPr>
          <w:rFonts w:hint="eastAsia" w:ascii="仿宋" w:hAnsi="仿宋" w:eastAsia="仿宋" w:cs="Times New Roman"/>
          <w:color w:val="auto"/>
          <w:sz w:val="24"/>
        </w:rPr>
      </w:pPr>
      <w:r>
        <w:rPr>
          <w:rFonts w:hint="eastAsia" w:ascii="仿宋" w:hAnsi="仿宋" w:eastAsia="仿宋" w:cs="Times New Roman"/>
          <w:color w:val="auto"/>
          <w:sz w:val="24"/>
        </w:rPr>
        <w:t>4.2.20遵守法律法规和甲方公司制度要求。</w:t>
      </w:r>
    </w:p>
    <w:p w14:paraId="65D8D7F6">
      <w:pPr>
        <w:spacing w:before="156" w:beforeLines="50" w:line="400" w:lineRule="exact"/>
        <w:ind w:firstLine="482" w:firstLineChars="200"/>
        <w:jc w:val="left"/>
        <w:rPr>
          <w:rFonts w:hint="eastAsia" w:ascii="仿宋" w:hAnsi="仿宋" w:eastAsia="仿宋" w:cs="Times New Roman"/>
          <w:b/>
          <w:color w:val="auto"/>
          <w:sz w:val="24"/>
        </w:rPr>
      </w:pPr>
      <w:r>
        <w:rPr>
          <w:rFonts w:hint="eastAsia" w:ascii="仿宋" w:hAnsi="仿宋" w:eastAsia="仿宋" w:cs="Times New Roman"/>
          <w:b/>
          <w:color w:val="auto"/>
          <w:sz w:val="24"/>
        </w:rPr>
        <w:t>5 合同工期和要求</w:t>
      </w:r>
    </w:p>
    <w:p w14:paraId="298E01E0">
      <w:pPr>
        <w:spacing w:before="156" w:beforeLines="50" w:line="360" w:lineRule="auto"/>
        <w:ind w:firstLine="480" w:firstLineChars="200"/>
        <w:rPr>
          <w:rFonts w:hint="eastAsia" w:ascii="仿宋" w:hAnsi="仿宋" w:eastAsia="仿宋" w:cs="Times New Roman"/>
          <w:b/>
          <w:color w:val="auto"/>
          <w:sz w:val="24"/>
        </w:rPr>
      </w:pPr>
      <w:r>
        <w:rPr>
          <w:rFonts w:hint="eastAsia" w:ascii="仿宋" w:hAnsi="仿宋" w:eastAsia="仿宋" w:cs="Times New Roman"/>
          <w:color w:val="auto"/>
          <w:sz w:val="24"/>
        </w:rPr>
        <w:t>5.1根据甲方的总体施工计划要求，乙方完成分包专项工程的合同工期预计为</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个月，开工日期以甲方通知乙方进场日期为准,完工日期以乙方完成甲方指定的工作为止。</w:t>
      </w:r>
    </w:p>
    <w:p w14:paraId="563D0425">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5.2甲方有权随时了解乙方的工程进展，乙方应在甲方管理人员指导下，按甲方施工进度计划，提前做好各项准备工作，不得延误下一道工序施工，保质保量完成本工程项目。</w:t>
      </w:r>
    </w:p>
    <w:p w14:paraId="1D14553B">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5.3施工过程中乙方应根据甲方指派的施工任务及甲方的进度计划合理安排人员、机械设备、周转材等的进场，避免因拖延工期带来的成本增加。</w:t>
      </w:r>
      <w:r>
        <w:rPr>
          <w:rFonts w:hint="eastAsia" w:ascii="仿宋" w:hAnsi="仿宋" w:eastAsia="仿宋" w:cs="Times New Roman"/>
          <w:color w:val="auto"/>
          <w:sz w:val="24"/>
          <w:lang w:val="en-US" w:eastAsia="zh-CN"/>
        </w:rPr>
        <w:t>因乙方的原因导致</w:t>
      </w:r>
      <w:r>
        <w:rPr>
          <w:rFonts w:hint="eastAsia" w:ascii="仿宋" w:hAnsi="仿宋" w:eastAsia="仿宋" w:cs="Times New Roman"/>
          <w:color w:val="auto"/>
          <w:sz w:val="24"/>
        </w:rPr>
        <w:t>工期</w:t>
      </w:r>
      <w:r>
        <w:rPr>
          <w:rFonts w:hint="eastAsia" w:ascii="仿宋" w:hAnsi="仿宋" w:eastAsia="仿宋" w:cs="Times New Roman"/>
          <w:color w:val="auto"/>
          <w:sz w:val="24"/>
          <w:lang w:val="en-US" w:eastAsia="zh-CN"/>
        </w:rPr>
        <w:t>延误造成成本增加或其他损失由乙方承担，甲方不承担相关责任</w:t>
      </w:r>
      <w:r>
        <w:rPr>
          <w:rFonts w:hint="eastAsia" w:ascii="仿宋" w:hAnsi="仿宋" w:eastAsia="仿宋" w:cs="Times New Roman"/>
          <w:color w:val="auto"/>
          <w:sz w:val="24"/>
        </w:rPr>
        <w:t>。</w:t>
      </w:r>
    </w:p>
    <w:p w14:paraId="37126AD3">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5.4如因乙方原因未能按时开工或延误工期，由此引起的损失由乙方承担，必要时，甲方有权单方面终止合同。因发包人原因或不可抗力造成的工期延误，可按照发包人同意的相应工期予以顺延。</w:t>
      </w:r>
    </w:p>
    <w:p w14:paraId="5BCE937C">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5.5 缺陷责任期为业主签发交工验收证书之日起计2年。在缺陷责任期内的缺陷维修，如属于乙方责任的，乙方在接到甲方通知3天内派人在指定时间内自费更换或修补，否则，甲方将另行组织队伍进行更换或修补，所发生的费用将在乙方的保留金或未收款项中扣除，同时不</w:t>
      </w:r>
      <w:r>
        <w:rPr>
          <w:rFonts w:hint="eastAsia" w:ascii="仿宋" w:hAnsi="仿宋" w:eastAsia="仿宋" w:cs="Times New Roman"/>
          <w:color w:val="auto"/>
          <w:sz w:val="24"/>
          <w:lang w:val="en-US" w:eastAsia="zh-CN"/>
        </w:rPr>
        <w:t>免</w:t>
      </w:r>
      <w:r>
        <w:rPr>
          <w:rFonts w:hint="eastAsia" w:ascii="仿宋" w:hAnsi="仿宋" w:eastAsia="仿宋" w:cs="Times New Roman"/>
          <w:color w:val="auto"/>
          <w:sz w:val="24"/>
        </w:rPr>
        <w:t>除乙方对完工项目质量应负的全部责任和义务。</w:t>
      </w:r>
    </w:p>
    <w:p w14:paraId="3CF0D687">
      <w:pPr>
        <w:spacing w:before="156" w:beforeLines="50" w:line="360" w:lineRule="auto"/>
        <w:ind w:firstLine="482" w:firstLineChars="200"/>
        <w:jc w:val="left"/>
        <w:rPr>
          <w:rFonts w:hint="eastAsia" w:ascii="仿宋" w:hAnsi="仿宋" w:eastAsia="仿宋" w:cs="Times New Roman"/>
          <w:b/>
          <w:color w:val="auto"/>
          <w:sz w:val="24"/>
        </w:rPr>
      </w:pPr>
      <w:r>
        <w:rPr>
          <w:rFonts w:hint="eastAsia" w:ascii="仿宋" w:hAnsi="仿宋" w:eastAsia="仿宋" w:cs="Times New Roman"/>
          <w:b/>
          <w:color w:val="auto"/>
          <w:sz w:val="24"/>
        </w:rPr>
        <w:t>6工程质量及质量保修</w:t>
      </w:r>
    </w:p>
    <w:p w14:paraId="59A96D39">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6.1乙方在分项工程开工之前，甲方须向乙方提交包括但不限于施工方案、图纸、测量数据、技术交底等相关技术文件，乙方按技术文件要求投入相应的人员、材料、设备等资源，按要求组织施工。该技术文件作为甲方对乙方过程管理及考核的依据。</w:t>
      </w:r>
    </w:p>
    <w:p w14:paraId="144F338E">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6.2乙方对所承担施工项目的具体实施负责，严格按甲方的施工组织设计、施工图纸和有关技术规范以及甲方依据合同发出的指令要求进行施工。乙方每道工序完成后必须进行自检，待自检完毕通知甲方技术人员、质检工程师检查。隐蔽工程须按规定时间提前通知甲方质检工程师和相关人员，待验收合格现场签认后，方准进入下一道工序的施工。</w:t>
      </w:r>
    </w:p>
    <w:p w14:paraId="2A448DA3">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6.3乙方应接受甲方派出人员的检查，并为检查提供便利条件。乙方承担因自身原因导致返工、修改的费用，对于工程施工过程中未能达到质量要求的工序，甲方有权让乙方返工直到满足技术规范要求，返工人工费及材料机械费及重复检测费用由乙方负责。</w:t>
      </w:r>
    </w:p>
    <w:p w14:paraId="1E5B9159">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6.4乙方通过隐瞒、疏通等手段经甲方验收合格的工程，后经上级或权威部门检查验收判定为不合格的，仍视为不合格工程，乙方须无条件进行返工，直至合格为止，发生的费用由乙方负责，并赔偿甲方因此造成的损失。</w:t>
      </w:r>
    </w:p>
    <w:p w14:paraId="6E019552">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6.5乙方承建的工程质量要求各单位、分部、分项工程合格率为100%，且重要分部分项工程评分达到或超过90分。乙方承建的工程若出现缺陷修复，缺陷责任由乙方承担。</w:t>
      </w:r>
    </w:p>
    <w:p w14:paraId="45FA915F">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6.6乙方的各项试验和检测内容应到甲方的试验室或甲方认可的有资质的试验检测机构完成，其费用由</w:t>
      </w:r>
      <w:r>
        <w:rPr>
          <w:rFonts w:hint="eastAsia" w:ascii="仿宋" w:hAnsi="仿宋" w:eastAsia="仿宋" w:cs="Times New Roman"/>
          <w:color w:val="auto"/>
          <w:sz w:val="24"/>
          <w:u w:val="single"/>
          <w:lang w:val="en-US" w:eastAsia="zh-CN"/>
        </w:rPr>
        <w:t>乙</w:t>
      </w:r>
      <w:r>
        <w:rPr>
          <w:rFonts w:hint="eastAsia" w:ascii="仿宋" w:hAnsi="仿宋" w:eastAsia="仿宋" w:cs="Times New Roman"/>
          <w:color w:val="auto"/>
          <w:sz w:val="24"/>
        </w:rPr>
        <w:t>方承担。试验检测的频率、方法、操作规程等，应严格按照相关的技术标准执行。</w:t>
      </w:r>
    </w:p>
    <w:p w14:paraId="44204FE8">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6.7甲方按照现行的验收办法、评定标准、施工技术规范及施工图等报请发包人组织验收。分包专项工程涉及的竣工资料</w:t>
      </w:r>
      <w:r>
        <w:rPr>
          <w:rFonts w:hint="eastAsia" w:ascii="仿宋" w:hAnsi="仿宋" w:eastAsia="仿宋" w:cs="Times New Roman"/>
          <w:color w:val="auto"/>
          <w:sz w:val="24"/>
          <w:u w:val="single"/>
          <w:lang w:val="en-US" w:eastAsia="zh-CN"/>
        </w:rPr>
        <w:t>b</w:t>
      </w:r>
      <w:r>
        <w:rPr>
          <w:rFonts w:hint="eastAsia" w:ascii="仿宋" w:hAnsi="仿宋" w:eastAsia="仿宋" w:cs="Times New Roman"/>
          <w:color w:val="auto"/>
          <w:sz w:val="24"/>
        </w:rPr>
        <w:t>（a.由甲方统一编制，乙方承担竣工资料编制费用；b.由乙方编制，乙方承担竣工资料编制费用）。</w:t>
      </w:r>
    </w:p>
    <w:p w14:paraId="0DBD3E28">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6.8乙方分包专项工程的质量保修期等同于发包人要求甲方的保修期，保修期间发生在乙方工作范围内的保修费用由乙方承担。</w:t>
      </w:r>
    </w:p>
    <w:p w14:paraId="55C24BDC">
      <w:pPr>
        <w:spacing w:before="156" w:beforeLines="50" w:line="360" w:lineRule="auto"/>
        <w:ind w:firstLine="482" w:firstLineChars="200"/>
        <w:jc w:val="left"/>
        <w:rPr>
          <w:rFonts w:hint="eastAsia" w:ascii="仿宋" w:hAnsi="仿宋" w:eastAsia="仿宋" w:cs="Times New Roman"/>
          <w:b/>
          <w:color w:val="auto"/>
          <w:sz w:val="24"/>
        </w:rPr>
      </w:pPr>
      <w:r>
        <w:rPr>
          <w:rFonts w:hint="eastAsia" w:ascii="仿宋" w:hAnsi="仿宋" w:eastAsia="仿宋" w:cs="Times New Roman"/>
          <w:b/>
          <w:color w:val="auto"/>
          <w:sz w:val="24"/>
        </w:rPr>
        <w:t>7 工程变更</w:t>
      </w:r>
    </w:p>
    <w:p w14:paraId="626FA5CD">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7.1甲方提出设计变更或其它施工方案，乙方应积极配合，并按甲方的要求施工。工程变更的综合单价按照本合同第3.1.4条或3.1.5条执行。变更数量以经甲乙双方确认的实际施工数量为准。</w:t>
      </w:r>
    </w:p>
    <w:p w14:paraId="435EB3DE">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7.2乙方不得擅自改变原设计，否则甲方对乙方完成的该项变更工程不予认可、不予计量支付，并有权要求乙方按照原设计返工，由此造成的损失由乙方承担。</w:t>
      </w:r>
    </w:p>
    <w:p w14:paraId="25E20513">
      <w:pPr>
        <w:spacing w:before="156" w:beforeLines="50" w:line="360" w:lineRule="auto"/>
        <w:ind w:firstLine="482" w:firstLineChars="200"/>
        <w:jc w:val="left"/>
        <w:rPr>
          <w:rFonts w:hint="eastAsia" w:ascii="仿宋" w:hAnsi="仿宋" w:eastAsia="仿宋" w:cs="Times New Roman"/>
          <w:b/>
          <w:color w:val="auto"/>
          <w:sz w:val="24"/>
        </w:rPr>
      </w:pPr>
      <w:r>
        <w:rPr>
          <w:rFonts w:hint="eastAsia" w:ascii="仿宋" w:hAnsi="仿宋" w:eastAsia="仿宋" w:cs="Times New Roman"/>
          <w:b/>
          <w:color w:val="auto"/>
          <w:sz w:val="24"/>
        </w:rPr>
        <w:t>8 工程款项的结算与支付</w:t>
      </w:r>
    </w:p>
    <w:p w14:paraId="5C4C7847">
      <w:pPr>
        <w:spacing w:line="360" w:lineRule="auto"/>
        <w:ind w:firstLine="480" w:firstLineChars="200"/>
        <w:jc w:val="left"/>
        <w:rPr>
          <w:rFonts w:hint="eastAsia" w:ascii="仿宋" w:hAnsi="仿宋" w:eastAsia="仿宋" w:cs="Times New Roman"/>
          <w:color w:val="auto"/>
          <w:sz w:val="24"/>
        </w:rPr>
      </w:pPr>
      <w:r>
        <w:rPr>
          <w:rFonts w:hint="eastAsia" w:ascii="仿宋" w:hAnsi="仿宋" w:eastAsia="仿宋" w:cs="Times New Roman"/>
          <w:color w:val="auto"/>
          <w:sz w:val="24"/>
        </w:rPr>
        <w:t>8.1计量支付和结算原则</w:t>
      </w:r>
    </w:p>
    <w:p w14:paraId="3DE2FD7C">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8.1.1</w:t>
      </w:r>
      <w:r>
        <w:rPr>
          <w:rFonts w:hint="eastAsia" w:ascii="仿宋" w:hAnsi="仿宋" w:eastAsia="仿宋" w:cs="Times New Roman"/>
          <w:b/>
          <w:color w:val="auto"/>
          <w:sz w:val="24"/>
        </w:rPr>
        <w:t>甲方按月或双方根据业主计量情况协商结算周期进行计量</w:t>
      </w:r>
      <w:r>
        <w:rPr>
          <w:rFonts w:hint="eastAsia" w:ascii="仿宋" w:hAnsi="仿宋" w:eastAsia="仿宋" w:cs="Times New Roman"/>
          <w:color w:val="auto"/>
          <w:sz w:val="24"/>
        </w:rPr>
        <w:t>，完成工程数量书面确认，验收合格后</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个月内完成合同结算，结算数量按业主批复内乙方实际完成的数量进行确认。</w:t>
      </w:r>
    </w:p>
    <w:p w14:paraId="0E4A53B0">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8.1.2甲方只对甲乙双方确认的乙方实际完成的经甲方验收合格的工作量进行计量支付，甲方无义务向乙方垫付或预付双方已确认结算工程量之外的工程款。</w:t>
      </w:r>
    </w:p>
    <w:p w14:paraId="35C7138B">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8.1.3甲方对乙方未达到本合同要求的质量标准的作业量不予计量，乙方应对未达到质量要求的作业项目进行返工，直到质量达到要求后方予以计量，返工费用由乙方承担。</w:t>
      </w:r>
    </w:p>
    <w:p w14:paraId="212F3E16">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8.1.4本合同涉及的所有期中计量支付、完工结算支付均由甲方支付到乙方在本合同约定的银行账户，无特殊情况下，甲方不接受乙方提供的任何第三方银行账户或委托支付。</w:t>
      </w:r>
    </w:p>
    <w:p w14:paraId="7B6C9589">
      <w:pPr>
        <w:spacing w:line="400" w:lineRule="exact"/>
        <w:ind w:firstLine="480" w:firstLineChars="200"/>
        <w:rPr>
          <w:rFonts w:ascii="仿宋" w:hAnsi="仿宋" w:eastAsia="仿宋" w:cs="Times New Roman"/>
          <w:color w:val="auto"/>
          <w:sz w:val="24"/>
        </w:rPr>
      </w:pPr>
      <w:r>
        <w:rPr>
          <w:rFonts w:hint="eastAsia" w:ascii="仿宋" w:hAnsi="仿宋" w:eastAsia="仿宋" w:cs="Times New Roman"/>
          <w:color w:val="auto"/>
          <w:sz w:val="24"/>
        </w:rPr>
        <w:t>8.1.5支付方式</w:t>
      </w:r>
    </w:p>
    <w:p w14:paraId="11FAA7DE">
      <w:pPr>
        <w:spacing w:line="400" w:lineRule="exact"/>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乙方同意甲方根据管理需要选择银行转账、支票或供应链金融等方式支付计量款项。</w:t>
      </w:r>
    </w:p>
    <w:p w14:paraId="28AA6174">
      <w:pPr>
        <w:spacing w:line="400" w:lineRule="exact"/>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本合同价的</w:t>
      </w:r>
      <w:r>
        <w:rPr>
          <w:rFonts w:hint="eastAsia" w:ascii="仿宋" w:hAnsi="仿宋" w:eastAsia="仿宋" w:cs="Times New Roman"/>
          <w:color w:val="auto"/>
          <w:sz w:val="24"/>
          <w:lang w:val="en-US" w:eastAsia="zh-CN"/>
        </w:rPr>
        <w:t>/</w:t>
      </w:r>
      <w:r>
        <w:rPr>
          <w:rFonts w:hint="eastAsia" w:ascii="仿宋" w:hAnsi="仿宋" w:eastAsia="仿宋" w:cs="Times New Roman"/>
          <w:color w:val="auto"/>
          <w:sz w:val="24"/>
        </w:rPr>
        <w:t>%款项支付将选择供应链金融支付方式，乙方应根据该支付方式建立有效支付通道（包括但不限于在甲方指定银行开立结算账户、出具供应链金融有关文书等），甲方承担该支付方式产生的利息费用。</w:t>
      </w:r>
    </w:p>
    <w:p w14:paraId="6C958138">
      <w:pPr>
        <w:spacing w:line="400" w:lineRule="exact"/>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8.２中期支付</w:t>
      </w:r>
    </w:p>
    <w:p w14:paraId="2B3817C5">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8.2.1合同内工程：甲方每月</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日前对乙方自上月</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日至本月</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日完成的合格工程量进行中间计量，扣除保留金及其他应扣款后，在业主支付对应工程款后，由甲方根据自身资金情况决定支付比例和进度。</w:t>
      </w:r>
    </w:p>
    <w:p w14:paraId="5B5F7486">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变更工程：在甲方收到业主单位支付该项变更工程款后，由甲方根据业主支付的比例确定向乙方支付的比例和进度，甲方无义务向乙方垫付或预付变更工程款，乙方不得以任何理由提出追偿。</w:t>
      </w:r>
    </w:p>
    <w:p w14:paraId="1A71E5EC">
      <w:pPr>
        <w:spacing w:line="400" w:lineRule="exact"/>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8.2.2扣留保留金的比例为甲方确认计量总金额的3%，安全保证金为2%，暂扣款为3%。</w:t>
      </w:r>
    </w:p>
    <w:p w14:paraId="2FA28245">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8.2.3农民工工资支付保证金</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%比例在计量支付时提取，在乙方劳务作业全部完成并出具无拖欠农民工工资承诺后退还。</w:t>
      </w:r>
    </w:p>
    <w:p w14:paraId="598A7E4C">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8.3 完工结算和支付</w:t>
      </w:r>
    </w:p>
    <w:p w14:paraId="0D4B2DBE">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8.3.1 乙方负责的工程量完工</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个月内，甲乙双方按本合同约定的单价和甲乙双方确认的实际完成的工程数量进行完工结算，并签订结算协议。项目合同审计完成前，累计付款不应超过结算金额的</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w:t>
      </w:r>
    </w:p>
    <w:p w14:paraId="26C8C3C6">
      <w:pPr>
        <w:adjustRightInd w:val="0"/>
        <w:snapToGrid w:val="0"/>
        <w:spacing w:line="360" w:lineRule="auto"/>
        <w:ind w:firstLine="480" w:firstLineChars="200"/>
        <w:rPr>
          <w:rFonts w:hint="eastAsia" w:ascii="仿宋" w:hAnsi="仿宋" w:eastAsia="仿宋" w:cs="Times New Roman"/>
          <w:color w:val="auto"/>
          <w:sz w:val="24"/>
          <w:highlight w:val="none"/>
        </w:rPr>
      </w:pPr>
      <w:r>
        <w:rPr>
          <w:rFonts w:hint="eastAsia" w:ascii="仿宋" w:hAnsi="仿宋" w:eastAsia="仿宋" w:cs="Times New Roman"/>
          <w:color w:val="auto"/>
          <w:sz w:val="24"/>
        </w:rPr>
        <w:t>8</w:t>
      </w:r>
      <w:r>
        <w:rPr>
          <w:rFonts w:hint="eastAsia" w:ascii="仿宋" w:hAnsi="仿宋" w:eastAsia="仿宋" w:cs="Times New Roman"/>
          <w:color w:val="auto"/>
          <w:sz w:val="24"/>
          <w:highlight w:val="none"/>
        </w:rPr>
        <w:t>.3.2 在甲方收到业主相应工程款的前提下，在双方签订的结算协议经合同</w:t>
      </w:r>
      <w:r>
        <w:rPr>
          <w:rFonts w:hint="eastAsia" w:ascii="仿宋" w:hAnsi="仿宋" w:eastAsia="仿宋" w:cs="Times New Roman"/>
          <w:color w:val="auto"/>
          <w:sz w:val="24"/>
          <w:highlight w:val="none"/>
          <w:lang w:val="en-US" w:eastAsia="zh-CN"/>
        </w:rPr>
        <w:t>审核</w:t>
      </w:r>
      <w:r>
        <w:rPr>
          <w:rFonts w:hint="eastAsia" w:ascii="仿宋" w:hAnsi="仿宋" w:eastAsia="仿宋" w:cs="Times New Roman"/>
          <w:color w:val="auto"/>
          <w:sz w:val="24"/>
          <w:highlight w:val="none"/>
        </w:rPr>
        <w:t>通过之日起的</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天内，甲方向乙方支付除保留金和其他应扣款以外的剩余应付款项。</w:t>
      </w:r>
    </w:p>
    <w:p w14:paraId="09397ACA">
      <w:pPr>
        <w:adjustRightInd w:val="0"/>
        <w:snapToGrid w:val="0"/>
        <w:spacing w:line="360" w:lineRule="auto"/>
        <w:ind w:firstLine="480" w:firstLineChars="200"/>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8.3.3保留金、安全保证金、暂扣款的退还：保留金在竣工验收合格，</w:t>
      </w:r>
      <w:r>
        <w:rPr>
          <w:rFonts w:hint="eastAsia" w:ascii="仿宋" w:hAnsi="仿宋" w:eastAsia="仿宋" w:cs="Times New Roman"/>
          <w:color w:val="auto"/>
          <w:sz w:val="24"/>
          <w:highlight w:val="none"/>
          <w:lang w:val="en-US" w:eastAsia="zh-CN"/>
        </w:rPr>
        <w:t>并</w:t>
      </w:r>
      <w:r>
        <w:rPr>
          <w:rFonts w:hint="eastAsia" w:ascii="仿宋" w:hAnsi="仿宋" w:eastAsia="仿宋" w:cs="Times New Roman"/>
          <w:color w:val="auto"/>
          <w:sz w:val="24"/>
          <w:highlight w:val="none"/>
        </w:rPr>
        <w:t>在业主返还质量保证金后</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个月内付清；若有部分项目因</w:t>
      </w:r>
      <w:r>
        <w:rPr>
          <w:rFonts w:hint="eastAsia" w:ascii="仿宋" w:hAnsi="仿宋" w:eastAsia="仿宋" w:cs="Times New Roman"/>
          <w:color w:val="auto"/>
          <w:sz w:val="24"/>
          <w:highlight w:val="none"/>
          <w:lang w:val="en-US" w:eastAsia="zh-CN"/>
        </w:rPr>
        <w:t>结算审核</w:t>
      </w:r>
      <w:r>
        <w:rPr>
          <w:rFonts w:hint="eastAsia" w:ascii="仿宋" w:hAnsi="仿宋" w:eastAsia="仿宋" w:cs="Times New Roman"/>
          <w:color w:val="auto"/>
          <w:sz w:val="24"/>
          <w:highlight w:val="none"/>
        </w:rPr>
        <w:t>造成扣款的或出现缺陷责任需对工程进行修复所发生的费用，甲方将在乙方的保留金中扣除，如保留金不足以扣除相应的款项，甲方可对乙方进行费用追索。若施工过程中没有发生安全事故的，安全保证金在竣工验收合格后退还。暂扣款在项目结算完成后半年内支付。保留金、安全保证金、暂扣款的返还不计任何利息。</w:t>
      </w:r>
    </w:p>
    <w:p w14:paraId="67EEF3BC">
      <w:pPr>
        <w:adjustRightInd w:val="0"/>
        <w:snapToGrid w:val="0"/>
        <w:spacing w:line="360" w:lineRule="auto"/>
        <w:ind w:firstLine="480" w:firstLineChars="200"/>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8.3.4最后结算支付以甲方</w:t>
      </w:r>
      <w:r>
        <w:rPr>
          <w:rFonts w:hint="eastAsia" w:ascii="仿宋" w:hAnsi="仿宋" w:eastAsia="仿宋" w:cs="Times New Roman"/>
          <w:color w:val="auto"/>
          <w:sz w:val="24"/>
          <w:highlight w:val="none"/>
          <w:lang w:val="en-US" w:eastAsia="zh-CN"/>
        </w:rPr>
        <w:t>审核</w:t>
      </w:r>
      <w:r>
        <w:rPr>
          <w:rFonts w:hint="eastAsia" w:ascii="仿宋" w:hAnsi="仿宋" w:eastAsia="仿宋" w:cs="Times New Roman"/>
          <w:color w:val="auto"/>
          <w:sz w:val="24"/>
          <w:highlight w:val="none"/>
        </w:rPr>
        <w:t>为准。</w:t>
      </w:r>
    </w:p>
    <w:p w14:paraId="0C165966">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8.3.5乙方与他人的经济、法律、劳资等纠纷申诉牵连到甲方的，如果乙方没有及时妥善解决，甲方有权从乙方保留金和暂扣款中扣除相应金额给申诉方，并</w:t>
      </w:r>
      <w:r>
        <w:rPr>
          <w:rFonts w:hint="eastAsia" w:ascii="仿宋" w:hAnsi="仿宋" w:eastAsia="仿宋" w:cs="Times New Roman"/>
          <w:color w:val="auto"/>
          <w:sz w:val="24"/>
          <w:lang w:val="en-US" w:eastAsia="zh-CN"/>
        </w:rPr>
        <w:t>有权要求</w:t>
      </w:r>
      <w:r>
        <w:rPr>
          <w:rFonts w:hint="eastAsia" w:ascii="仿宋" w:hAnsi="仿宋" w:eastAsia="仿宋" w:cs="Times New Roman"/>
          <w:color w:val="auto"/>
          <w:sz w:val="24"/>
        </w:rPr>
        <w:t>乙方</w:t>
      </w:r>
      <w:r>
        <w:rPr>
          <w:rFonts w:hint="eastAsia" w:ascii="仿宋" w:hAnsi="仿宋" w:eastAsia="仿宋" w:cs="Times New Roman"/>
          <w:color w:val="auto"/>
          <w:sz w:val="24"/>
          <w:lang w:val="en-US" w:eastAsia="zh-CN"/>
        </w:rPr>
        <w:t>支付</w:t>
      </w:r>
      <w:r>
        <w:rPr>
          <w:rFonts w:hint="eastAsia" w:ascii="仿宋" w:hAnsi="仿宋" w:eastAsia="仿宋" w:cs="Times New Roman"/>
          <w:color w:val="auto"/>
          <w:sz w:val="24"/>
        </w:rPr>
        <w:t>相同金额的</w:t>
      </w:r>
      <w:r>
        <w:rPr>
          <w:rFonts w:hint="eastAsia" w:ascii="仿宋" w:hAnsi="仿宋" w:eastAsia="仿宋" w:cs="Times New Roman"/>
          <w:color w:val="auto"/>
          <w:sz w:val="24"/>
          <w:lang w:val="en-US" w:eastAsia="zh-CN"/>
        </w:rPr>
        <w:t>违约金</w:t>
      </w:r>
      <w:r>
        <w:rPr>
          <w:rFonts w:hint="eastAsia" w:ascii="仿宋" w:hAnsi="仿宋" w:eastAsia="仿宋" w:cs="Times New Roman"/>
          <w:color w:val="auto"/>
          <w:sz w:val="24"/>
        </w:rPr>
        <w:t>。</w:t>
      </w:r>
    </w:p>
    <w:p w14:paraId="0D962A6C">
      <w:pPr>
        <w:widowControl w:val="0"/>
        <w:spacing w:after="120" w:line="360" w:lineRule="auto"/>
        <w:ind w:firstLine="480" w:firstLineChars="200"/>
        <w:jc w:val="both"/>
        <w:rPr>
          <w:rFonts w:hint="eastAsia" w:ascii="Times New Roman" w:hAnsi="Times New Roman" w:eastAsia="仿宋" w:cs="Times New Roman"/>
          <w:color w:val="auto"/>
          <w:kern w:val="2"/>
          <w:sz w:val="21"/>
          <w:szCs w:val="24"/>
          <w:lang w:val="en-US" w:eastAsia="zh-CN" w:bidi="ar-SA"/>
        </w:rPr>
      </w:pPr>
      <w:r>
        <w:rPr>
          <w:rFonts w:hint="eastAsia" w:ascii="仿宋" w:hAnsi="仿宋" w:eastAsia="仿宋" w:cs="Times New Roman"/>
          <w:color w:val="auto"/>
          <w:kern w:val="2"/>
          <w:sz w:val="24"/>
          <w:szCs w:val="24"/>
          <w:lang w:val="en-US" w:eastAsia="zh-CN" w:bidi="ar-SA"/>
        </w:rPr>
        <w:t>8.3.6 乙方因本合同产生的包括但不限于给甲方造成的损失、违约金、处罚款等款项，甲方有权在应付款项中优先扣减，仍不能弥补甲方损失的，甲方有权向乙方继续进行追偿。</w:t>
      </w:r>
    </w:p>
    <w:p w14:paraId="610D1004">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8.4跨区域涉税事项报告表</w:t>
      </w:r>
    </w:p>
    <w:p w14:paraId="687BE9DD">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乙方在本合同签订后一个月内，应根据合同提供该项目的跨区域涉税事项报告表，以确保该项目能在当地税务机关申报缴纳税费。</w:t>
      </w:r>
    </w:p>
    <w:p w14:paraId="2D9F3F31">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8.5发票的提供</w:t>
      </w:r>
    </w:p>
    <w:p w14:paraId="6CAA65CE">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8.5.1乙方应在每期结算确认后，在甲方资金支付前，根据合同内容和结算书内容向甲方出具相应增值税发票。以上条件不满足时，乙方不得向甲方申请支付款项，甲方有权停止支付且由乙方自身承担资金风险。</w:t>
      </w:r>
    </w:p>
    <w:p w14:paraId="4F60685E">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8.5.2乙方出具发票需同时满足以下原则：</w:t>
      </w:r>
    </w:p>
    <w:p w14:paraId="41437746">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8.5.2.1发票金额</w:t>
      </w:r>
    </w:p>
    <w:p w14:paraId="37A42CE5">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乙方向甲方开具发票的金额需严格依据“累计确认结算量与资金支付量孰高原则”。</w:t>
      </w:r>
    </w:p>
    <w:p w14:paraId="62F2A865">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8.5.2.2票面信息</w:t>
      </w:r>
    </w:p>
    <w:p w14:paraId="257905D5">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发票票面记载信息需符合“三流一致”原则，包括：①销售方信息需与货物或应税劳务、服务实际提供单位（即乙方）一致，并与实际收款人（即乙方）一致；②货物或应税劳务、服务名称等需与实际业务内容一致；③税率信息与清单税率或综合单价中包含的增值税税率一致；④发票类别（增值税专用发票或普通发票）与本项目的计税方法（一般计税方法或简易计税方法）匹配。</w:t>
      </w:r>
    </w:p>
    <w:p w14:paraId="6C3893B1">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8.6发票提供的责任</w:t>
      </w:r>
    </w:p>
    <w:p w14:paraId="175BF7C9">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导致甲方</w:t>
      </w:r>
      <w:r>
        <w:rPr>
          <w:rFonts w:hint="eastAsia" w:ascii="仿宋" w:hAnsi="仿宋" w:eastAsia="仿宋" w:cs="Times New Roman"/>
          <w:color w:val="auto"/>
          <w:sz w:val="24"/>
          <w:lang w:val="en-US" w:eastAsia="zh-CN"/>
        </w:rPr>
        <w:t>利益受损</w:t>
      </w:r>
      <w:r>
        <w:rPr>
          <w:rFonts w:hint="eastAsia" w:ascii="仿宋" w:hAnsi="仿宋" w:eastAsia="仿宋" w:cs="Times New Roman"/>
          <w:color w:val="auto"/>
          <w:sz w:val="24"/>
        </w:rPr>
        <w:t>的，全部损失由乙方承担。</w:t>
      </w:r>
    </w:p>
    <w:p w14:paraId="3F1611BD">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w:t>
      </w:r>
      <w:r>
        <w:rPr>
          <w:rFonts w:hint="eastAsia" w:ascii="仿宋" w:hAnsi="仿宋" w:eastAsia="仿宋" w:cs="Times New Roman"/>
          <w:color w:val="auto"/>
          <w:sz w:val="24"/>
          <w:lang w:val="en-US" w:eastAsia="zh-CN"/>
        </w:rPr>
        <w:t>赔偿</w:t>
      </w:r>
      <w:r>
        <w:rPr>
          <w:rFonts w:hint="eastAsia" w:ascii="仿宋" w:hAnsi="仿宋" w:eastAsia="仿宋" w:cs="Times New Roman"/>
          <w:color w:val="auto"/>
          <w:sz w:val="24"/>
        </w:rPr>
        <w:t>相应进项税额3倍的</w:t>
      </w:r>
      <w:r>
        <w:rPr>
          <w:rFonts w:hint="eastAsia" w:ascii="仿宋" w:hAnsi="仿宋" w:eastAsia="仿宋" w:cs="Times New Roman"/>
          <w:color w:val="auto"/>
          <w:sz w:val="24"/>
          <w:lang w:val="en-US" w:eastAsia="zh-CN"/>
        </w:rPr>
        <w:t>违约金</w:t>
      </w:r>
      <w:r>
        <w:rPr>
          <w:rFonts w:hint="eastAsia" w:ascii="仿宋" w:hAnsi="仿宋" w:eastAsia="仿宋" w:cs="Times New Roman"/>
          <w:color w:val="auto"/>
          <w:sz w:val="24"/>
        </w:rPr>
        <w:t>。</w:t>
      </w:r>
    </w:p>
    <w:p w14:paraId="513319AB">
      <w:pPr>
        <w:spacing w:before="156" w:beforeLines="50" w:line="360" w:lineRule="auto"/>
        <w:ind w:firstLine="482" w:firstLineChars="200"/>
        <w:jc w:val="left"/>
        <w:rPr>
          <w:rFonts w:hint="eastAsia" w:ascii="仿宋" w:hAnsi="仿宋" w:eastAsia="仿宋" w:cs="Times New Roman"/>
          <w:b/>
          <w:color w:val="auto"/>
          <w:sz w:val="24"/>
        </w:rPr>
      </w:pPr>
      <w:r>
        <w:rPr>
          <w:rFonts w:hint="eastAsia" w:ascii="仿宋" w:hAnsi="仿宋" w:eastAsia="仿宋" w:cs="Times New Roman"/>
          <w:b/>
          <w:color w:val="auto"/>
          <w:sz w:val="24"/>
        </w:rPr>
        <w:t>9 材料物资和机械设备</w:t>
      </w:r>
    </w:p>
    <w:p w14:paraId="6351E1DC">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9.1材料</w:t>
      </w:r>
    </w:p>
    <w:p w14:paraId="71608434">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9.1.1发包人和甲方统一采购供应的材料名称、单价及允许损耗系数等见《</w:t>
      </w:r>
      <w:r>
        <w:rPr>
          <w:rFonts w:hint="eastAsia" w:ascii="仿宋" w:hAnsi="仿宋" w:eastAsia="仿宋" w:cs="Times New Roman"/>
          <w:color w:val="auto"/>
          <w:sz w:val="24"/>
          <w:lang w:val="en-US" w:eastAsia="zh-CN"/>
        </w:rPr>
        <w:t>发包</w:t>
      </w:r>
      <w:r>
        <w:rPr>
          <w:rFonts w:hint="eastAsia" w:ascii="仿宋" w:hAnsi="仿宋" w:eastAsia="仿宋" w:cs="Times New Roman"/>
          <w:color w:val="auto"/>
          <w:sz w:val="24"/>
        </w:rPr>
        <w:t>人供应材料清单》（附表2）。乙方领用的甲供材料，若累计用量在图纸用量加允许损耗用量以内的数量按材料清单单价扣回，超出允许损耗用量的材料款在乙方当月的工程款结算时按上述材料的市场价加</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保管费予以扣回。</w:t>
      </w:r>
    </w:p>
    <w:p w14:paraId="22A27196">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9.1.2除上述甲方提供的材料物资外，用于乙方施工的其他材料物资由乙方自行采购和提供，并负责其保管、检测、使用、运输等全部费用。</w:t>
      </w:r>
    </w:p>
    <w:p w14:paraId="1F0B8032">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9.2机械设备</w:t>
      </w:r>
    </w:p>
    <w:p w14:paraId="55B206F6">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9.2.1乙方施工所需机械设备均由乙方自行采购和提供，并符合工程施工和进度的要求。</w:t>
      </w:r>
    </w:p>
    <w:p w14:paraId="4444DDDC">
      <w:pPr>
        <w:spacing w:before="156" w:beforeLines="50" w:line="360" w:lineRule="auto"/>
        <w:ind w:firstLine="482" w:firstLineChars="200"/>
        <w:jc w:val="left"/>
        <w:rPr>
          <w:rFonts w:hint="eastAsia" w:ascii="仿宋" w:hAnsi="仿宋" w:eastAsia="仿宋" w:cs="Times New Roman"/>
          <w:color w:val="auto"/>
          <w:sz w:val="24"/>
        </w:rPr>
      </w:pPr>
      <w:r>
        <w:rPr>
          <w:rFonts w:hint="eastAsia" w:ascii="仿宋" w:hAnsi="仿宋" w:eastAsia="仿宋" w:cs="Times New Roman"/>
          <w:b/>
          <w:color w:val="auto"/>
          <w:sz w:val="24"/>
        </w:rPr>
        <w:t>10 安全生产管理</w:t>
      </w:r>
    </w:p>
    <w:p w14:paraId="6ECC697A">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10.1 乙方安全生产管理</w:t>
      </w:r>
    </w:p>
    <w:p w14:paraId="7B2DF574">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10.1.1乙方对所承担工程的生产安全负责。包括施工区域、施工便道便桥、办公生活场所中的安全设施设备、施工机电设备、建筑材料、安全标志标牌，施工辅助作业、施工作业，从业人员。</w:t>
      </w:r>
    </w:p>
    <w:p w14:paraId="0C62CE83">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10.1.2按有关法规和甲方要求建立完善安全生产管理规章、安全生产操作规程，落实安全生产管理责任制，配备专（兼）职安全生产管理人员。</w:t>
      </w:r>
    </w:p>
    <w:p w14:paraId="0082AEA9">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10.1.3工程开工前应确保安全生产条件。检查进场施工机电设备的安全性能，施工现场安全措施，对从业人员实行三级安全教育和安全技术交底。</w:t>
      </w:r>
    </w:p>
    <w:p w14:paraId="44E5A3BA">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10.1.4必须按照有关规定为从业人员购买意外伤害保险。</w:t>
      </w:r>
    </w:p>
    <w:p w14:paraId="0D995602">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10.1.5施工过程中必须严格执行有关安全生产法律、法规、规定和行业标准、规程、规章，遵守甲方及其上级单位安全生产管理制度，服从甲方安全生产管理，接受甲方的安全指导和监督检查。</w:t>
      </w:r>
    </w:p>
    <w:p w14:paraId="02F0A3F9">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10.1.6施工现场应设立并维护好安全生产警示、标志牌、构造物标示牌、安全生产宣传栏、宣传标语等。</w:t>
      </w:r>
    </w:p>
    <w:p w14:paraId="7F226E5F">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10.1.7特种施工机械设备必须按规定进行安检、备案，特种作业人员必须持有效证件上岗。</w:t>
      </w:r>
    </w:p>
    <w:p w14:paraId="0EF5CDE9">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10.1.8施工现场临时用电应按要求进行布设线路、电箱和电气。</w:t>
      </w:r>
    </w:p>
    <w:p w14:paraId="7A05883F">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10.1.9按规定为从业人员配发劳保用品。</w:t>
      </w:r>
    </w:p>
    <w:p w14:paraId="22B60C02">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10.1.10 乙方与甲方签订《安全生产责任书》，明确双方安全生产管理责任。本合同中未明确事宜，严格按《安全生产责任书》执行。在施工过程中，因乙方原因造成生产安全事故，追究乙方相应责任，并由乙方承担由此引起的一切</w:t>
      </w:r>
      <w:r>
        <w:rPr>
          <w:rFonts w:hint="eastAsia" w:ascii="仿宋" w:hAnsi="仿宋" w:eastAsia="仿宋" w:cs="Times New Roman"/>
          <w:color w:val="auto"/>
          <w:sz w:val="24"/>
          <w:lang w:val="en-US" w:eastAsia="zh-CN"/>
        </w:rPr>
        <w:t>责任</w:t>
      </w:r>
      <w:r>
        <w:rPr>
          <w:rFonts w:hint="eastAsia" w:ascii="仿宋" w:hAnsi="仿宋" w:eastAsia="仿宋" w:cs="Times New Roman"/>
          <w:color w:val="auto"/>
          <w:sz w:val="24"/>
        </w:rPr>
        <w:t>。</w:t>
      </w:r>
    </w:p>
    <w:p w14:paraId="4914BDE2">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10.1.11</w:t>
      </w:r>
      <w:r>
        <w:rPr>
          <w:rFonts w:hint="eastAsia" w:ascii="仿宋" w:hAnsi="仿宋" w:eastAsia="仿宋" w:cs="宋体"/>
          <w:color w:val="auto"/>
          <w:sz w:val="24"/>
        </w:rPr>
        <w:t>承建工程</w:t>
      </w:r>
      <w:r>
        <w:rPr>
          <w:rFonts w:hint="eastAsia" w:ascii="仿宋" w:hAnsi="仿宋" w:eastAsia="仿宋" w:cs="Times New Roman"/>
          <w:color w:val="auto"/>
          <w:sz w:val="24"/>
        </w:rPr>
        <w:t>与地方道路等有交叉、干扰的地段，应合理安排施工组织计划，采取有效措施保证施工安全及交通畅通；与其他在建工程</w:t>
      </w:r>
      <w:r>
        <w:rPr>
          <w:rFonts w:hint="eastAsia" w:ascii="仿宋" w:hAnsi="仿宋" w:eastAsia="仿宋" w:cs="宋体"/>
          <w:color w:val="auto"/>
          <w:sz w:val="24"/>
        </w:rPr>
        <w:t>干</w:t>
      </w:r>
      <w:r>
        <w:rPr>
          <w:rFonts w:hint="eastAsia" w:ascii="仿宋" w:hAnsi="仿宋" w:eastAsia="仿宋" w:cs="Times New Roman"/>
          <w:color w:val="auto"/>
          <w:sz w:val="24"/>
        </w:rPr>
        <w:t>扰地段，应做好与其它施工单位或班组的协调工作。</w:t>
      </w:r>
    </w:p>
    <w:p w14:paraId="4274D613">
      <w:pPr>
        <w:adjustRightInd w:val="0"/>
        <w:snapToGrid w:val="0"/>
        <w:spacing w:line="360" w:lineRule="auto"/>
        <w:ind w:firstLine="480" w:firstLineChars="200"/>
        <w:rPr>
          <w:rFonts w:hint="eastAsia" w:ascii="仿宋" w:hAnsi="仿宋" w:eastAsia="仿宋" w:cs="宋体"/>
          <w:color w:val="auto"/>
          <w:sz w:val="24"/>
        </w:rPr>
      </w:pPr>
      <w:r>
        <w:rPr>
          <w:rFonts w:hint="eastAsia" w:ascii="仿宋" w:hAnsi="仿宋" w:eastAsia="仿宋" w:cs="Times New Roman"/>
          <w:color w:val="auto"/>
          <w:sz w:val="24"/>
        </w:rPr>
        <w:t xml:space="preserve">10.2 </w:t>
      </w:r>
      <w:r>
        <w:rPr>
          <w:rFonts w:hint="eastAsia" w:ascii="仿宋" w:hAnsi="仿宋" w:eastAsia="仿宋" w:cs="宋体"/>
          <w:color w:val="auto"/>
          <w:sz w:val="24"/>
        </w:rPr>
        <w:t>甲方</w:t>
      </w:r>
      <w:r>
        <w:rPr>
          <w:rFonts w:hint="eastAsia" w:ascii="仿宋" w:hAnsi="仿宋" w:eastAsia="仿宋" w:cs="Times New Roman"/>
          <w:color w:val="auto"/>
          <w:sz w:val="24"/>
        </w:rPr>
        <w:t>安全生产</w:t>
      </w:r>
      <w:r>
        <w:rPr>
          <w:rFonts w:hint="eastAsia" w:ascii="仿宋" w:hAnsi="仿宋" w:eastAsia="仿宋" w:cs="宋体"/>
          <w:color w:val="auto"/>
          <w:sz w:val="24"/>
        </w:rPr>
        <w:t>管理</w:t>
      </w:r>
    </w:p>
    <w:p w14:paraId="3D73331A">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10.2.1甲方与乙方界定安全生产管理责任，提出明确安全生产管理要求。</w:t>
      </w:r>
    </w:p>
    <w:p w14:paraId="24E44A49">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10.2.2甲方在开工前组织对乙方安全生产条件检查。组织一级、三级安全教育，进行技术交底。</w:t>
      </w:r>
    </w:p>
    <w:p w14:paraId="0CE34E48">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10.2.3施工过程中对乙方安全生产工作落实情况进行巡查、督促，不定期组织安全生产宣传教育。</w:t>
      </w:r>
    </w:p>
    <w:p w14:paraId="1B3FB3E9">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10.2.4发生生产安全事故或出现安全生产险情时，协助乙方处理。</w:t>
      </w:r>
    </w:p>
    <w:p w14:paraId="542A3E44">
      <w:pPr>
        <w:spacing w:before="156" w:beforeLines="50" w:line="360" w:lineRule="auto"/>
        <w:ind w:firstLine="482" w:firstLineChars="200"/>
        <w:rPr>
          <w:rFonts w:hint="eastAsia" w:ascii="仿宋" w:hAnsi="仿宋" w:eastAsia="仿宋" w:cs="Times New Roman"/>
          <w:color w:val="auto"/>
          <w:sz w:val="24"/>
        </w:rPr>
      </w:pPr>
      <w:r>
        <w:rPr>
          <w:rFonts w:hint="eastAsia" w:ascii="仿宋" w:hAnsi="仿宋" w:eastAsia="仿宋" w:cs="Times New Roman"/>
          <w:b/>
          <w:color w:val="auto"/>
          <w:sz w:val="24"/>
        </w:rPr>
        <w:t>11</w:t>
      </w:r>
      <w:r>
        <w:rPr>
          <w:rFonts w:hint="eastAsia" w:ascii="仿宋" w:hAnsi="仿宋" w:eastAsia="仿宋" w:cs="Times New Roman"/>
          <w:b/>
          <w:color w:val="auto"/>
          <w:sz w:val="24"/>
          <w:lang w:val="en-US" w:eastAsia="zh-CN"/>
        </w:rPr>
        <w:t>人员</w:t>
      </w:r>
      <w:r>
        <w:rPr>
          <w:rFonts w:hint="eastAsia" w:ascii="仿宋" w:hAnsi="仿宋" w:eastAsia="仿宋" w:cs="Times New Roman"/>
          <w:b/>
          <w:color w:val="auto"/>
          <w:sz w:val="24"/>
        </w:rPr>
        <w:t>关系管理</w:t>
      </w:r>
    </w:p>
    <w:p w14:paraId="464A09FA">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11.1乙方招用的人员，应当依法签订劳动用工合同，进场施工前，须提交工人花名册、工人用工合同到甲方处备案；进场后，每月向甲方报送更新的工人花名册；中途进场的工人，用工当日乙方需向甲方提交工人的用工合同。乙方不得招用</w:t>
      </w:r>
      <w:r>
        <w:rPr>
          <w:rFonts w:hint="eastAsia" w:ascii="仿宋" w:hAnsi="仿宋" w:eastAsia="仿宋" w:cs="Times New Roman"/>
          <w:color w:val="auto"/>
          <w:sz w:val="24"/>
          <w:lang w:val="en-US" w:eastAsia="zh-CN"/>
        </w:rPr>
        <w:t>达到法定</w:t>
      </w:r>
      <w:r>
        <w:rPr>
          <w:rFonts w:hint="eastAsia" w:ascii="仿宋" w:hAnsi="仿宋" w:eastAsia="仿宋" w:cs="Times New Roman"/>
          <w:color w:val="auto"/>
          <w:sz w:val="24"/>
        </w:rPr>
        <w:t>退休年龄的人员。</w:t>
      </w:r>
    </w:p>
    <w:p w14:paraId="17337375">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11.2乙方若未按上述约定进行用工管理，导致乙方工人申请工伤认定、劳动仲裁或提起诉讼而牵连甲方的，每发生一宗乙方</w:t>
      </w:r>
      <w:r>
        <w:rPr>
          <w:rFonts w:hint="eastAsia" w:ascii="仿宋" w:hAnsi="仿宋" w:eastAsia="仿宋" w:cs="Times New Roman"/>
          <w:color w:val="auto"/>
          <w:sz w:val="24"/>
          <w:lang w:val="en-US" w:eastAsia="zh-CN"/>
        </w:rPr>
        <w:t>应向甲方支付违约金</w:t>
      </w:r>
      <w:r>
        <w:rPr>
          <w:rFonts w:hint="eastAsia" w:ascii="仿宋" w:hAnsi="仿宋" w:eastAsia="仿宋" w:cs="Times New Roman"/>
          <w:color w:val="auto"/>
          <w:sz w:val="24"/>
        </w:rPr>
        <w:t>5万元，该费用将从应付给乙方的任何款项内扣除。</w:t>
      </w:r>
    </w:p>
    <w:p w14:paraId="030F367C">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发生劳动争议仲裁或诉讼后，乙方可自行选择与工人和解或应诉；选择应诉的，甲方将按案件标的的1.3倍暂扣乙方的工程款直至案件解决。</w:t>
      </w:r>
    </w:p>
    <w:p w14:paraId="245FFA6E">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11.3乙方招用的人员，其应得工资应通过银行卡转帐或现金发放的方式及时、足额地直接发放给员工本人。严禁发放给其他不具备用工主体资格的组织和个人。甲方付工程款时，乙方须提供上一期农民工工资的付款凭证，否则不予支付工程款。</w:t>
      </w:r>
    </w:p>
    <w:p w14:paraId="60548E1F">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11.4乙方招用的人员，在核定的人工费总额内需由甲方统一代为发放的，乙方需出具书面委托，并在每月月底报送员工考勤表及乙方签认的工资发放表到甲方。甲方以工资卡形式发放，费用在月结算计量款中抵扣。</w:t>
      </w:r>
    </w:p>
    <w:p w14:paraId="65DEA5AA">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11.5乙方不得以任何理由和形式克扣员工工资，更不得发生员工到甲方追讨工资或有举报拖欠工资的情况发生，若乙方无理克扣或拖欠工资情况属实，视为乙方违约，甲方在垫付其应得工资后，有权要求乙方支付违约金，违约金数额为每次</w:t>
      </w:r>
      <w:r>
        <w:rPr>
          <w:rFonts w:hint="eastAsia" w:ascii="仿宋" w:hAnsi="仿宋" w:eastAsia="仿宋" w:cs="Times New Roman"/>
          <w:color w:val="auto"/>
          <w:sz w:val="24"/>
          <w:u w:val="single"/>
          <w:lang w:val="en-US" w:eastAsia="zh-CN"/>
        </w:rPr>
        <w:t xml:space="preserve">  </w:t>
      </w:r>
      <w:bookmarkStart w:id="22" w:name="_GoBack"/>
      <w:bookmarkEnd w:id="22"/>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元，并没收保证金。</w:t>
      </w:r>
    </w:p>
    <w:p w14:paraId="5DD38521">
      <w:pPr>
        <w:spacing w:before="156" w:beforeLines="50" w:line="360" w:lineRule="auto"/>
        <w:ind w:firstLine="482" w:firstLineChars="200"/>
        <w:jc w:val="left"/>
        <w:rPr>
          <w:rFonts w:hint="eastAsia" w:ascii="仿宋" w:hAnsi="仿宋" w:eastAsia="仿宋" w:cs="Times New Roman"/>
          <w:b/>
          <w:color w:val="auto"/>
          <w:sz w:val="24"/>
        </w:rPr>
      </w:pPr>
      <w:r>
        <w:rPr>
          <w:rFonts w:hint="eastAsia" w:ascii="仿宋" w:hAnsi="仿宋" w:eastAsia="仿宋" w:cs="Times New Roman"/>
          <w:b/>
          <w:color w:val="auto"/>
          <w:sz w:val="24"/>
        </w:rPr>
        <w:t>12保险</w:t>
      </w:r>
    </w:p>
    <w:p w14:paraId="2EF78CC2">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乙方必须自费为其在本工程雇用的</w:t>
      </w:r>
      <w:r>
        <w:rPr>
          <w:rFonts w:hint="eastAsia" w:ascii="仿宋" w:hAnsi="仿宋" w:eastAsia="仿宋" w:cs="Times New Roman"/>
          <w:color w:val="auto"/>
          <w:sz w:val="24"/>
          <w:lang w:val="en-US" w:eastAsia="zh-CN"/>
        </w:rPr>
        <w:t>人员</w:t>
      </w:r>
      <w:r>
        <w:rPr>
          <w:rFonts w:hint="eastAsia" w:ascii="仿宋" w:hAnsi="仿宋" w:eastAsia="仿宋" w:cs="Times New Roman"/>
          <w:color w:val="auto"/>
          <w:sz w:val="24"/>
        </w:rPr>
        <w:t>办理意外险、工伤保险及社会劳动保险等。乙方因未办理保险而产生的或不能从保险公司得到的赔偿金额、或赔偿金额不足以抵消损失的，由乙方负责承担，甲方及其所属管理单位将不承担任何赔偿责任。</w:t>
      </w:r>
    </w:p>
    <w:p w14:paraId="2E67585C">
      <w:pPr>
        <w:spacing w:before="156" w:beforeLines="50" w:line="360" w:lineRule="auto"/>
        <w:ind w:firstLine="482" w:firstLineChars="200"/>
        <w:jc w:val="left"/>
        <w:rPr>
          <w:rFonts w:hint="eastAsia" w:ascii="仿宋" w:hAnsi="仿宋" w:eastAsia="仿宋" w:cs="Times New Roman"/>
          <w:b/>
          <w:color w:val="auto"/>
          <w:sz w:val="24"/>
        </w:rPr>
      </w:pPr>
      <w:r>
        <w:rPr>
          <w:rFonts w:hint="eastAsia" w:ascii="仿宋" w:hAnsi="仿宋" w:eastAsia="仿宋" w:cs="Times New Roman"/>
          <w:b/>
          <w:color w:val="auto"/>
          <w:sz w:val="24"/>
        </w:rPr>
        <w:t>13现场管理</w:t>
      </w:r>
    </w:p>
    <w:p w14:paraId="3819FCA9">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13.1甲、乙双方人员应严格遵守现场各项管理制度，在甲方现场负责人统一领导下组织施工，合理安排计划进度、材料供应等工作，双方应密切配合，保证施工顺利进行。</w:t>
      </w:r>
    </w:p>
    <w:p w14:paraId="5E628760">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13.2乙方应对施工人员进行遵纪守法、爱护财物的教育，并指定专人负责现场保卫工作，严禁盗窃现场材料。如乙方人员违反现场管理制度和有不法行为，甲方有权采取必要措施，并由乙方承担相关法律责任和经济损失。</w:t>
      </w:r>
    </w:p>
    <w:p w14:paraId="3B93F98C">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13.3在施工过程中，如因乙方自身原因导致</w:t>
      </w:r>
      <w:r>
        <w:rPr>
          <w:rFonts w:hint="eastAsia" w:ascii="仿宋" w:hAnsi="仿宋" w:eastAsia="仿宋" w:cs="Times New Roman"/>
          <w:color w:val="auto"/>
          <w:sz w:val="24"/>
          <w:lang w:val="en-US" w:eastAsia="zh-CN"/>
        </w:rPr>
        <w:t>甲方需要向</w:t>
      </w:r>
      <w:r>
        <w:rPr>
          <w:rFonts w:hint="eastAsia" w:ascii="仿宋" w:hAnsi="仿宋" w:eastAsia="仿宋" w:cs="Times New Roman"/>
          <w:color w:val="auto"/>
          <w:sz w:val="24"/>
        </w:rPr>
        <w:t>业主、监理或其他上级主管单位的任何形式的</w:t>
      </w:r>
      <w:r>
        <w:rPr>
          <w:rFonts w:hint="eastAsia" w:ascii="仿宋" w:hAnsi="仿宋" w:eastAsia="仿宋" w:cs="Times New Roman"/>
          <w:color w:val="auto"/>
          <w:sz w:val="24"/>
          <w:lang w:val="en-US" w:eastAsia="zh-CN"/>
        </w:rPr>
        <w:t>责任</w:t>
      </w:r>
      <w:r>
        <w:rPr>
          <w:rFonts w:hint="eastAsia" w:ascii="仿宋" w:hAnsi="仿宋" w:eastAsia="仿宋" w:cs="Times New Roman"/>
          <w:color w:val="auto"/>
          <w:sz w:val="24"/>
        </w:rPr>
        <w:t>，该</w:t>
      </w:r>
      <w:r>
        <w:rPr>
          <w:rFonts w:hint="eastAsia" w:ascii="仿宋" w:hAnsi="仿宋" w:eastAsia="仿宋" w:cs="Times New Roman"/>
          <w:color w:val="auto"/>
          <w:sz w:val="24"/>
          <w:lang w:val="en-US" w:eastAsia="zh-CN"/>
        </w:rPr>
        <w:t>责任</w:t>
      </w:r>
      <w:r>
        <w:rPr>
          <w:rFonts w:hint="eastAsia" w:ascii="仿宋" w:hAnsi="仿宋" w:eastAsia="仿宋" w:cs="Times New Roman"/>
          <w:color w:val="auto"/>
          <w:sz w:val="24"/>
        </w:rPr>
        <w:t>由乙方承担，</w:t>
      </w:r>
      <w:r>
        <w:rPr>
          <w:rFonts w:hint="eastAsia" w:ascii="仿宋" w:hAnsi="仿宋" w:eastAsia="仿宋" w:cs="Times New Roman"/>
          <w:color w:val="auto"/>
          <w:sz w:val="24"/>
          <w:lang w:val="en-US" w:eastAsia="zh-CN"/>
        </w:rPr>
        <w:t>甲方</w:t>
      </w:r>
      <w:r>
        <w:rPr>
          <w:rFonts w:hint="eastAsia" w:ascii="仿宋" w:hAnsi="仿宋" w:eastAsia="仿宋" w:cs="Times New Roman"/>
          <w:color w:val="auto"/>
          <w:sz w:val="24"/>
        </w:rPr>
        <w:t>保留进一步</w:t>
      </w:r>
      <w:r>
        <w:rPr>
          <w:rFonts w:hint="eastAsia" w:ascii="仿宋" w:hAnsi="仿宋" w:eastAsia="仿宋" w:cs="Times New Roman"/>
          <w:color w:val="auto"/>
          <w:sz w:val="24"/>
          <w:lang w:val="en-US" w:eastAsia="zh-CN"/>
        </w:rPr>
        <w:t>追究乙方责任</w:t>
      </w:r>
      <w:r>
        <w:rPr>
          <w:rFonts w:hint="eastAsia" w:ascii="仿宋" w:hAnsi="仿宋" w:eastAsia="仿宋" w:cs="Times New Roman"/>
          <w:color w:val="auto"/>
          <w:sz w:val="24"/>
        </w:rPr>
        <w:t>的权利。如</w:t>
      </w:r>
      <w:r>
        <w:rPr>
          <w:rFonts w:hint="eastAsia" w:ascii="仿宋" w:hAnsi="仿宋" w:eastAsia="仿宋" w:cs="Times New Roman"/>
          <w:color w:val="auto"/>
          <w:sz w:val="24"/>
          <w:lang w:val="en-US" w:eastAsia="zh-CN"/>
        </w:rPr>
        <w:t>造成甲方经济的损失</w:t>
      </w:r>
      <w:r>
        <w:rPr>
          <w:rFonts w:hint="eastAsia" w:ascii="仿宋" w:hAnsi="仿宋" w:eastAsia="仿宋" w:cs="Times New Roman"/>
          <w:color w:val="auto"/>
          <w:sz w:val="24"/>
        </w:rPr>
        <w:t>，将在乙方当期计量或工程结算时</w:t>
      </w:r>
      <w:r>
        <w:rPr>
          <w:rFonts w:hint="eastAsia" w:ascii="仿宋" w:hAnsi="仿宋" w:eastAsia="仿宋" w:cs="Times New Roman"/>
          <w:color w:val="auto"/>
          <w:sz w:val="24"/>
          <w:lang w:val="en-US" w:eastAsia="zh-CN"/>
        </w:rPr>
        <w:t>予以抵扣</w:t>
      </w:r>
      <w:r>
        <w:rPr>
          <w:rFonts w:hint="eastAsia" w:ascii="仿宋" w:hAnsi="仿宋" w:eastAsia="仿宋" w:cs="Times New Roman"/>
          <w:color w:val="auto"/>
          <w:sz w:val="24"/>
        </w:rPr>
        <w:t>。</w:t>
      </w:r>
    </w:p>
    <w:p w14:paraId="59F57B48">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13.4乙方人员要保持相对稳定，出入施工现场要配戴工作标志，不允许与施工生产无关人员出入现场和住宿，不得招用“三无”人员从事工程施工作业。</w:t>
      </w:r>
    </w:p>
    <w:p w14:paraId="176C94F2">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13.5文明施工</w:t>
      </w:r>
    </w:p>
    <w:p w14:paraId="26B92C0D">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13.5.1乙方应遵守有关文明施工的规定，注意在施工过程中保护工程所在地的环境。如防治雨水对施工现场所占有的土地、临时用地、路基土石方、取弃土场等的冲刷，造成对河流、水道、灌溉渠、排水系统产生淤积、堵塞，对农田或其他农作物造成污染、淹没；防治施工中燃料、油、焊碴、污水、废料和垃圾等有害物质对池塘、河道、农田等造成污染，防治扬尘、汽油等物质对环境空气的污染；防治噪音对环境的污染，把施工对环境、空气的影响减少到法规允许的范围内。如乙方因自身管理不到位造成的责任事故，由乙方承担责任及相关赔偿费用。因乙方的责任造成环境污染事故或其他环境责任事故，由乙方承担相关责任和经济赔偿。</w:t>
      </w:r>
    </w:p>
    <w:p w14:paraId="61530715">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13.5.2 乙方的员工应统一佩带由甲方要求的上岗标志，甲方将定期进行检查。乙方施工场地使用、机械停放、材料和设备布置应服从甲方统一安排，机具、材料堆放整齐。</w:t>
      </w:r>
    </w:p>
    <w:p w14:paraId="3DC5C588">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13.5.3乙方应保证驻地整洁，现场文明施工，确保施工期间在工程范围内便道、原有道路的交通状况满足甲方的要求。</w:t>
      </w:r>
    </w:p>
    <w:p w14:paraId="60653F8B">
      <w:pPr>
        <w:spacing w:before="156" w:beforeLines="50" w:line="360" w:lineRule="auto"/>
        <w:ind w:firstLine="482" w:firstLineChars="200"/>
        <w:jc w:val="left"/>
        <w:rPr>
          <w:rFonts w:hint="eastAsia" w:ascii="仿宋" w:hAnsi="仿宋" w:eastAsia="仿宋" w:cs="Times New Roman"/>
          <w:color w:val="auto"/>
          <w:sz w:val="24"/>
        </w:rPr>
      </w:pPr>
      <w:r>
        <w:rPr>
          <w:rFonts w:hint="eastAsia" w:ascii="仿宋" w:hAnsi="仿宋" w:eastAsia="仿宋" w:cs="Times New Roman"/>
          <w:b/>
          <w:color w:val="auto"/>
          <w:sz w:val="24"/>
        </w:rPr>
        <w:t>14合同解除及违约责任</w:t>
      </w:r>
    </w:p>
    <w:p w14:paraId="6BAD0EBF">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14.1 经甲乙双方协商同意，可以变更或解除合同。</w:t>
      </w:r>
    </w:p>
    <w:p w14:paraId="4873869B">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14.2 乙方分包的工程项目，不得再行</w:t>
      </w:r>
      <w:r>
        <w:rPr>
          <w:rFonts w:hint="eastAsia" w:ascii="仿宋" w:hAnsi="仿宋" w:eastAsia="仿宋" w:cs="Times New Roman"/>
          <w:color w:val="auto"/>
          <w:sz w:val="24"/>
          <w:lang w:eastAsia="zh-CN"/>
        </w:rPr>
        <w:t>发包</w:t>
      </w:r>
      <w:r>
        <w:rPr>
          <w:rFonts w:hint="eastAsia" w:ascii="仿宋" w:hAnsi="仿宋" w:eastAsia="仿宋" w:cs="Times New Roman"/>
          <w:color w:val="auto"/>
          <w:sz w:val="24"/>
        </w:rPr>
        <w:t>或分包，否则将无条件被认为乙方违约，甲方有权解除合同，且由此引起的一切责任、事故和损失由乙方负责。</w:t>
      </w:r>
    </w:p>
    <w:p w14:paraId="5EDDA844">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14.3乙方在履行合同过程中出现下列情形之一的，甲方将视为乙方严重违约，有权单方面解除合同，另行安排队伍施工，乙方须无条件退场。同时甲方有权没收乙方的合同履约保证金（如果有），如履约保证金仍不能补偿甲方的损失，甲方有权从乙方的保留金或其他工程款中扣除作冲抵，如仍不能弥补甲方损失的，甲方有权继续向乙方追索。</w:t>
      </w:r>
    </w:p>
    <w:p w14:paraId="1C7BC35B">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14.3.1乙方未经甲方批准将本合同的任何工作内容另行</w:t>
      </w:r>
      <w:r>
        <w:rPr>
          <w:rFonts w:hint="eastAsia" w:ascii="仿宋" w:hAnsi="仿宋" w:eastAsia="仿宋" w:cs="Times New Roman"/>
          <w:color w:val="auto"/>
          <w:sz w:val="24"/>
          <w:lang w:eastAsia="zh-CN"/>
        </w:rPr>
        <w:t>发包</w:t>
      </w:r>
      <w:r>
        <w:rPr>
          <w:rFonts w:hint="eastAsia" w:ascii="仿宋" w:hAnsi="仿宋" w:eastAsia="仿宋" w:cs="Times New Roman"/>
          <w:color w:val="auto"/>
          <w:sz w:val="24"/>
        </w:rPr>
        <w:t>或分包给他人的。</w:t>
      </w:r>
    </w:p>
    <w:p w14:paraId="29286A38">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14.3.2 乙方在施工过程中，不听从甲方指挥或调配、违章作业、或出现安全问题和事故，甲方有权提出警告、责令整改，并视具体情况</w:t>
      </w:r>
      <w:r>
        <w:rPr>
          <w:rFonts w:hint="eastAsia" w:ascii="仿宋" w:hAnsi="仿宋" w:eastAsia="仿宋" w:cs="Times New Roman"/>
          <w:color w:val="auto"/>
          <w:sz w:val="24"/>
          <w:lang w:val="en-US" w:eastAsia="zh-CN"/>
        </w:rPr>
        <w:t>要求甲方支付违约金</w:t>
      </w:r>
      <w:r>
        <w:rPr>
          <w:rFonts w:hint="eastAsia" w:ascii="仿宋" w:hAnsi="仿宋" w:eastAsia="仿宋" w:cs="Times New Roman"/>
          <w:color w:val="auto"/>
          <w:sz w:val="24"/>
        </w:rPr>
        <w:t>，若乙方拒不改正的</w:t>
      </w:r>
      <w:r>
        <w:rPr>
          <w:rFonts w:hint="eastAsia" w:ascii="仿宋" w:hAnsi="仿宋" w:eastAsia="仿宋" w:cs="Times New Roman"/>
          <w:color w:val="auto"/>
          <w:sz w:val="24"/>
          <w:lang w:eastAsia="zh-CN"/>
        </w:rPr>
        <w:t>，</w:t>
      </w:r>
      <w:r>
        <w:rPr>
          <w:rFonts w:hint="eastAsia" w:ascii="仿宋" w:hAnsi="仿宋" w:eastAsia="仿宋" w:cs="Times New Roman"/>
          <w:color w:val="auto"/>
          <w:sz w:val="24"/>
          <w:lang w:val="en-US" w:eastAsia="zh-CN"/>
        </w:rPr>
        <w:t>甲方有权解除合同</w:t>
      </w:r>
      <w:r>
        <w:rPr>
          <w:rFonts w:hint="eastAsia" w:ascii="仿宋" w:hAnsi="仿宋" w:eastAsia="仿宋" w:cs="Times New Roman"/>
          <w:color w:val="auto"/>
          <w:sz w:val="24"/>
        </w:rPr>
        <w:t>。</w:t>
      </w:r>
    </w:p>
    <w:p w14:paraId="7E09F840">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14.3.3 因乙方原因导致甲方不能按合同或业主规定的工期交付使用，从而导致业主对甲方进行有关工期延误的</w:t>
      </w:r>
      <w:r>
        <w:rPr>
          <w:rFonts w:hint="eastAsia" w:ascii="仿宋" w:hAnsi="仿宋" w:eastAsia="仿宋" w:cs="Times New Roman"/>
          <w:color w:val="auto"/>
          <w:sz w:val="24"/>
          <w:lang w:val="en-US" w:eastAsia="zh-CN"/>
        </w:rPr>
        <w:t>索赔</w:t>
      </w:r>
      <w:r>
        <w:rPr>
          <w:rFonts w:hint="eastAsia" w:ascii="仿宋" w:hAnsi="仿宋" w:eastAsia="仿宋" w:cs="Times New Roman"/>
          <w:color w:val="auto"/>
          <w:sz w:val="24"/>
        </w:rPr>
        <w:t>，由乙方承担相应的</w:t>
      </w:r>
      <w:r>
        <w:rPr>
          <w:rFonts w:hint="eastAsia" w:ascii="仿宋" w:hAnsi="仿宋" w:eastAsia="仿宋" w:cs="Times New Roman"/>
          <w:color w:val="auto"/>
          <w:sz w:val="24"/>
          <w:lang w:val="en-US" w:eastAsia="zh-CN"/>
        </w:rPr>
        <w:t>赔偿款</w:t>
      </w:r>
      <w:r>
        <w:rPr>
          <w:rFonts w:hint="eastAsia" w:ascii="仿宋" w:hAnsi="仿宋" w:eastAsia="仿宋" w:cs="Times New Roman"/>
          <w:color w:val="auto"/>
          <w:sz w:val="24"/>
        </w:rPr>
        <w:t>，并承担因此而给甲方造成的损失。</w:t>
      </w:r>
    </w:p>
    <w:p w14:paraId="7724767D">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14.3.4 未按合同约定将劳务人员、机具设备组织到位。</w:t>
      </w:r>
    </w:p>
    <w:p w14:paraId="2EF57C4B">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14.3.5连续3次完成不了甲方下达的任务，导致甲方不能按时完成生产计划。</w:t>
      </w:r>
    </w:p>
    <w:p w14:paraId="47F9E395">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14.3.6 施工质量经整改仍达不到合同、规范标准要求的或发生重大质量事故。</w:t>
      </w:r>
    </w:p>
    <w:p w14:paraId="4F02C71B">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14.3.7 因乙方原因给甲方造成严重信誉损毁的。</w:t>
      </w:r>
    </w:p>
    <w:p w14:paraId="6020B8E9">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14.3.8 出现国家法律、法规规定的其他需要解除合同的情形时。</w:t>
      </w:r>
    </w:p>
    <w:p w14:paraId="7BA6FA0E">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14.4如乙方单方面提出解除合同，按照合同金额的</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%向甲方支付违约金。</w:t>
      </w:r>
    </w:p>
    <w:p w14:paraId="10CC9F45">
      <w:pPr>
        <w:spacing w:before="156" w:beforeLines="50" w:line="360" w:lineRule="auto"/>
        <w:ind w:firstLine="482" w:firstLineChars="200"/>
        <w:jc w:val="left"/>
        <w:rPr>
          <w:rFonts w:hint="eastAsia" w:ascii="仿宋" w:hAnsi="仿宋" w:eastAsia="仿宋" w:cs="Times New Roman"/>
          <w:b/>
          <w:color w:val="auto"/>
          <w:sz w:val="24"/>
        </w:rPr>
      </w:pPr>
      <w:r>
        <w:rPr>
          <w:rFonts w:hint="eastAsia" w:ascii="仿宋" w:hAnsi="仿宋" w:eastAsia="仿宋" w:cs="Times New Roman"/>
          <w:b/>
          <w:color w:val="auto"/>
          <w:sz w:val="24"/>
        </w:rPr>
        <w:t>15 附则</w:t>
      </w:r>
    </w:p>
    <w:p w14:paraId="7AE897C3">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15.1甲方不允许项目部人员擅自变更本合同以及以甲方或甲方项目部名义对外借款。甲方与乙方之间签订的任何合同、协议、补充合同、承诺书、确认单等均以甲方委派项目经理签字并加盖</w:t>
      </w:r>
      <w:r>
        <w:rPr>
          <w:rFonts w:hint="eastAsia" w:ascii="仿宋" w:hAnsi="仿宋" w:eastAsia="仿宋" w:cs="仿宋"/>
          <w:bCs/>
          <w:color w:val="auto"/>
          <w:kern w:val="0"/>
          <w:sz w:val="24"/>
        </w:rPr>
        <w:t>公司公章或公司合同专用章</w:t>
      </w:r>
      <w:r>
        <w:rPr>
          <w:rFonts w:hint="eastAsia" w:ascii="仿宋" w:hAnsi="仿宋" w:eastAsia="仿宋" w:cs="Times New Roman"/>
          <w:color w:val="auto"/>
          <w:sz w:val="24"/>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倍的违约金。</w:t>
      </w:r>
    </w:p>
    <w:p w14:paraId="3A30A3E2">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15.2合同生效：本合同经甲乙双方签字盖章后，须经驻地监理办审查，报发包人备案之日起生效。</w:t>
      </w:r>
    </w:p>
    <w:p w14:paraId="76A3C645">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15.3合同终止日期：在全部工程竣工，办理竣工验收款项结清后失效。</w:t>
      </w:r>
    </w:p>
    <w:p w14:paraId="24153B73">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15.4本合同发生纠纷时，甲乙双方应及时协商解决。若协商不成时，可向</w:t>
      </w:r>
      <w:r>
        <w:rPr>
          <w:rFonts w:hint="eastAsia" w:ascii="仿宋" w:hAnsi="仿宋" w:eastAsia="仿宋" w:cs="Times New Roman"/>
          <w:color w:val="auto"/>
          <w:sz w:val="24"/>
          <w:lang w:val="en-US" w:eastAsia="zh-CN"/>
        </w:rPr>
        <w:t>甲方所在地有管辖权的人民法院</w:t>
      </w:r>
      <w:r>
        <w:rPr>
          <w:rFonts w:hint="eastAsia" w:ascii="仿宋" w:hAnsi="仿宋" w:eastAsia="仿宋" w:cs="Times New Roman"/>
          <w:color w:val="auto"/>
          <w:sz w:val="24"/>
        </w:rPr>
        <w:t>提起</w:t>
      </w:r>
      <w:r>
        <w:rPr>
          <w:rFonts w:hint="eastAsia" w:ascii="仿宋" w:hAnsi="仿宋" w:eastAsia="仿宋" w:cs="Times New Roman"/>
          <w:color w:val="auto"/>
          <w:sz w:val="24"/>
          <w:lang w:val="en-US" w:eastAsia="zh-CN"/>
        </w:rPr>
        <w:t>诉讼</w:t>
      </w:r>
      <w:r>
        <w:rPr>
          <w:rFonts w:hint="eastAsia" w:ascii="仿宋" w:hAnsi="仿宋" w:eastAsia="仿宋" w:cs="Times New Roman"/>
          <w:color w:val="auto"/>
          <w:sz w:val="24"/>
        </w:rPr>
        <w:t>。</w:t>
      </w:r>
    </w:p>
    <w:p w14:paraId="1B609A8D">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15.5本合同一式</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份，甲乙双方各执正本一份，副本</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份，驻地监理办、发包人备案各一份。</w:t>
      </w:r>
    </w:p>
    <w:p w14:paraId="691C66AF">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15.6本合同未尽事宜，发包人与甲方签订总包合同的相关条款已有的，按其办理；未涉及的，按照本工程合同文件的精神，甲乙双方协商解决。</w:t>
      </w:r>
    </w:p>
    <w:p w14:paraId="4F1F216D">
      <w:pPr>
        <w:spacing w:line="400" w:lineRule="exact"/>
        <w:rPr>
          <w:rFonts w:hint="eastAsia" w:ascii="仿宋" w:hAnsi="仿宋" w:eastAsia="仿宋" w:cs="Times New Roman"/>
          <w:color w:val="auto"/>
          <w:sz w:val="24"/>
        </w:rPr>
      </w:pPr>
    </w:p>
    <w:p w14:paraId="00E25A68">
      <w:pPr>
        <w:spacing w:line="360" w:lineRule="auto"/>
        <w:ind w:firstLine="480"/>
        <w:rPr>
          <w:rFonts w:hint="eastAsia" w:ascii="仿宋" w:hAnsi="仿宋" w:eastAsia="仿宋" w:cs="Times New Roman"/>
          <w:color w:val="auto"/>
          <w:sz w:val="24"/>
        </w:rPr>
      </w:pPr>
      <w:r>
        <w:rPr>
          <w:rFonts w:hint="eastAsia" w:ascii="仿宋" w:hAnsi="仿宋" w:eastAsia="仿宋" w:cs="Times New Roman"/>
          <w:color w:val="auto"/>
          <w:sz w:val="24"/>
        </w:rPr>
        <w:t>（此页无正文，仅为签字盖章页）</w:t>
      </w:r>
    </w:p>
    <w:p w14:paraId="2DEFB70C">
      <w:pPr>
        <w:spacing w:line="400" w:lineRule="exact"/>
        <w:rPr>
          <w:rFonts w:hint="eastAsia" w:ascii="仿宋" w:hAnsi="仿宋" w:eastAsia="仿宋" w:cs="Times New Roman"/>
          <w:color w:val="auto"/>
          <w:sz w:val="24"/>
        </w:rPr>
      </w:pPr>
      <w:r>
        <w:rPr>
          <w:rFonts w:hint="eastAsia" w:ascii="仿宋" w:hAnsi="仿宋" w:eastAsia="仿宋" w:cs="Times New Roman"/>
          <w:color w:val="auto"/>
          <w:sz w:val="24"/>
        </w:rPr>
        <w:t>甲  方：(盖章)                           乙  方：(盖章)</w:t>
      </w:r>
    </w:p>
    <w:p w14:paraId="774BF392">
      <w:pPr>
        <w:spacing w:line="400" w:lineRule="exact"/>
        <w:rPr>
          <w:rFonts w:hint="eastAsia" w:ascii="仿宋" w:hAnsi="仿宋" w:eastAsia="仿宋" w:cs="Times New Roman"/>
          <w:color w:val="auto"/>
          <w:sz w:val="24"/>
        </w:rPr>
      </w:pPr>
      <w:r>
        <w:rPr>
          <w:rFonts w:hint="eastAsia" w:ascii="仿宋" w:hAnsi="仿宋" w:eastAsia="仿宋" w:cs="Times New Roman"/>
          <w:color w:val="auto"/>
          <w:sz w:val="24"/>
        </w:rPr>
        <w:t>法定代表人：(签字)                       法定代表人：(签字)</w:t>
      </w:r>
    </w:p>
    <w:p w14:paraId="3E0363E8">
      <w:pPr>
        <w:spacing w:line="400" w:lineRule="exact"/>
        <w:rPr>
          <w:rFonts w:hint="eastAsia" w:ascii="仿宋" w:hAnsi="仿宋" w:eastAsia="仿宋" w:cs="Times New Roman"/>
          <w:color w:val="auto"/>
          <w:sz w:val="24"/>
        </w:rPr>
      </w:pPr>
      <w:r>
        <w:rPr>
          <w:rFonts w:hint="eastAsia" w:ascii="仿宋" w:hAnsi="仿宋" w:eastAsia="仿宋" w:cs="Times New Roman"/>
          <w:color w:val="auto"/>
          <w:sz w:val="24"/>
        </w:rPr>
        <w:t>委托代理人：(签字)                       委托代理人：(签字)</w:t>
      </w:r>
    </w:p>
    <w:p w14:paraId="138556D0">
      <w:pPr>
        <w:spacing w:line="400" w:lineRule="exact"/>
        <w:rPr>
          <w:rFonts w:hint="eastAsia" w:ascii="仿宋" w:hAnsi="仿宋" w:eastAsia="仿宋" w:cs="Times New Roman"/>
          <w:color w:val="auto"/>
          <w:sz w:val="24"/>
        </w:rPr>
      </w:pPr>
      <w:r>
        <w:rPr>
          <w:rFonts w:hint="eastAsia" w:ascii="仿宋" w:hAnsi="仿宋" w:eastAsia="仿宋" w:cs="Times New Roman"/>
          <w:color w:val="auto"/>
          <w:sz w:val="24"/>
        </w:rPr>
        <w:t>地    址：                               地    址：</w:t>
      </w:r>
    </w:p>
    <w:p w14:paraId="788BC6A7">
      <w:pPr>
        <w:spacing w:line="400" w:lineRule="exact"/>
        <w:rPr>
          <w:rFonts w:hint="eastAsia" w:ascii="仿宋" w:hAnsi="仿宋" w:eastAsia="仿宋" w:cs="Times New Roman"/>
          <w:color w:val="auto"/>
          <w:sz w:val="24"/>
        </w:rPr>
      </w:pPr>
      <w:r>
        <w:rPr>
          <w:rFonts w:hint="eastAsia" w:ascii="仿宋" w:hAnsi="仿宋" w:eastAsia="仿宋" w:cs="Times New Roman"/>
          <w:color w:val="auto"/>
          <w:sz w:val="24"/>
        </w:rPr>
        <w:t>电    话：                               电    话：</w:t>
      </w:r>
    </w:p>
    <w:p w14:paraId="64A76E85">
      <w:pPr>
        <w:spacing w:line="400" w:lineRule="exact"/>
        <w:rPr>
          <w:rFonts w:hint="eastAsia" w:ascii="仿宋" w:hAnsi="仿宋" w:eastAsia="仿宋" w:cs="Times New Roman"/>
          <w:color w:val="auto"/>
          <w:sz w:val="24"/>
        </w:rPr>
      </w:pPr>
      <w:r>
        <w:rPr>
          <w:rFonts w:hint="eastAsia" w:ascii="仿宋" w:hAnsi="仿宋" w:eastAsia="仿宋" w:cs="Times New Roman"/>
          <w:color w:val="auto"/>
          <w:sz w:val="24"/>
        </w:rPr>
        <w:t>开户银行：                               开户银行：</w:t>
      </w:r>
    </w:p>
    <w:p w14:paraId="5CB8D7A5">
      <w:pPr>
        <w:spacing w:line="400" w:lineRule="exact"/>
        <w:rPr>
          <w:rFonts w:hint="eastAsia" w:ascii="仿宋" w:hAnsi="仿宋" w:eastAsia="仿宋" w:cs="Times New Roman"/>
          <w:color w:val="auto"/>
          <w:sz w:val="24"/>
        </w:rPr>
      </w:pPr>
      <w:r>
        <w:rPr>
          <w:rFonts w:hint="eastAsia" w:ascii="仿宋" w:hAnsi="仿宋" w:eastAsia="仿宋" w:cs="Times New Roman"/>
          <w:color w:val="auto"/>
          <w:sz w:val="24"/>
        </w:rPr>
        <w:t>银行帐号：                               银行帐号：</w:t>
      </w:r>
    </w:p>
    <w:p w14:paraId="140EA2DD">
      <w:pPr>
        <w:spacing w:line="400" w:lineRule="exact"/>
        <w:rPr>
          <w:rFonts w:hint="eastAsia" w:ascii="仿宋" w:hAnsi="仿宋" w:eastAsia="仿宋" w:cs="Times New Roman"/>
          <w:color w:val="auto"/>
          <w:sz w:val="24"/>
        </w:rPr>
      </w:pPr>
      <w:r>
        <w:rPr>
          <w:rFonts w:hint="eastAsia" w:ascii="仿宋" w:hAnsi="仿宋" w:eastAsia="仿宋" w:cs="Times New Roman"/>
          <w:color w:val="auto"/>
          <w:sz w:val="24"/>
        </w:rPr>
        <w:t>签订时间：                               签订时间：</w:t>
      </w:r>
    </w:p>
    <w:p w14:paraId="3B6E401A">
      <w:pPr>
        <w:wordWrap w:val="0"/>
        <w:spacing w:before="200" w:after="160"/>
        <w:ind w:right="864"/>
        <w:jc w:val="both"/>
        <w:rPr>
          <w:rFonts w:hint="eastAsia" w:ascii="Times New Roman" w:hAnsi="Times New Roman" w:eastAsia="宋体" w:cs="Times New Roman"/>
          <w:b w:val="0"/>
          <w:bCs/>
          <w:i/>
          <w:iCs/>
          <w:color w:val="auto"/>
          <w:sz w:val="21"/>
          <w:szCs w:val="21"/>
          <w:lang w:val="en-US" w:eastAsia="zh-CN" w:bidi="ar-SA"/>
        </w:rPr>
      </w:pPr>
    </w:p>
    <w:p w14:paraId="18588D67">
      <w:pPr>
        <w:pStyle w:val="3"/>
        <w:rPr>
          <w:rFonts w:hint="eastAsia"/>
          <w:color w:val="auto"/>
          <w:lang w:val="en-US" w:eastAsia="zh-CN"/>
        </w:rPr>
        <w:sectPr>
          <w:footerReference r:id="rId6" w:type="default"/>
          <w:pgSz w:w="11900" w:h="16840"/>
          <w:pgMar w:top="1440" w:right="1457"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AA03B9D">
      <w:pPr>
        <w:pStyle w:val="12"/>
        <w:rPr>
          <w:rFonts w:hint="eastAsia"/>
          <w:color w:val="auto"/>
          <w:lang w:val="en-US" w:eastAsia="zh-CN"/>
        </w:rPr>
      </w:pPr>
    </w:p>
    <w:p w14:paraId="7173E966">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7" w:name="_Toc27313"/>
      <w:r>
        <w:rPr>
          <w:rFonts w:hint="eastAsia" w:ascii="宋体" w:hAnsi="宋体" w:eastAsia="宋体" w:cs="宋体"/>
          <w:b/>
          <w:bCs/>
          <w:color w:val="auto"/>
          <w:kern w:val="0"/>
          <w:sz w:val="32"/>
          <w:szCs w:val="32"/>
          <w:highlight w:val="none"/>
          <w:lang w:val="en-US" w:eastAsia="zh-CN"/>
        </w:rPr>
        <w:t>第六部分  响应文件格式</w:t>
      </w:r>
      <w:bookmarkEnd w:id="17"/>
    </w:p>
    <w:p w14:paraId="2529A3A6">
      <w:pPr>
        <w:widowControl w:val="0"/>
        <w:wordWrap w:val="0"/>
        <w:spacing w:line="1200" w:lineRule="exact"/>
        <w:jc w:val="center"/>
        <w:rPr>
          <w:rFonts w:hint="eastAsia" w:ascii="宋体" w:hAnsi="宋体" w:eastAsia="宋体" w:cs="宋体"/>
          <w:color w:val="auto"/>
          <w:kern w:val="2"/>
          <w:sz w:val="44"/>
          <w:szCs w:val="44"/>
          <w:highlight w:val="none"/>
          <w:u w:val="single" w:color="000000"/>
          <w:lang w:val="en-US" w:eastAsia="zh-CN" w:bidi="ar-SA"/>
        </w:rPr>
      </w:pPr>
    </w:p>
    <w:p w14:paraId="32D94E6D">
      <w:pPr>
        <w:widowControl w:val="0"/>
        <w:wordWrap w:val="0"/>
        <w:adjustRightInd w:val="0"/>
        <w:snapToGrid w:val="0"/>
        <w:spacing w:line="360" w:lineRule="auto"/>
        <w:jc w:val="center"/>
        <w:rPr>
          <w:rFonts w:hint="eastAsia" w:ascii="宋体" w:hAnsi="宋体" w:eastAsia="宋体" w:cs="宋体"/>
          <w:color w:val="auto"/>
          <w:kern w:val="2"/>
          <w:sz w:val="44"/>
          <w:szCs w:val="44"/>
          <w:highlight w:val="none"/>
          <w:u w:color="000000"/>
          <w:lang w:val="en-US" w:eastAsia="zh-CN" w:bidi="ar-SA"/>
        </w:rPr>
      </w:pPr>
    </w:p>
    <w:p w14:paraId="4D421805">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惠东县水质提升工程项目（黄埠镇盐洲片区）</w:t>
      </w:r>
    </w:p>
    <w:p w14:paraId="6FC41FB7">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（编号01号）施工分包（桩基、装修装饰工程）</w:t>
      </w:r>
    </w:p>
    <w:p w14:paraId="51D98A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竞价</w:t>
      </w:r>
      <w:r>
        <w:rPr>
          <w:rFonts w:hint="eastAsia" w:ascii="宋体" w:hAnsi="宋体" w:eastAsia="宋体" w:cs="宋体"/>
          <w:b/>
          <w:bCs/>
          <w:color w:val="auto"/>
          <w:kern w:val="2"/>
          <w:sz w:val="40"/>
          <w:szCs w:val="40"/>
          <w:highlight w:val="none"/>
          <w:u w:val="none" w:color="auto"/>
          <w:lang w:val="zh-TW" w:eastAsia="zh-CN" w:bidi="ar-SA"/>
        </w:rPr>
        <w:t>文件</w:t>
      </w:r>
    </w:p>
    <w:p w14:paraId="1A4599A5">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38BC5DC2">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2A59EEF4">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1799A0ED">
      <w:pPr>
        <w:widowControl w:val="0"/>
        <w:wordWrap w:val="0"/>
        <w:adjustRightInd w:val="0"/>
        <w:snapToGrid w:val="0"/>
        <w:spacing w:line="360" w:lineRule="auto"/>
        <w:ind w:left="0" w:leftChars="0" w:firstLine="480" w:firstLineChars="150"/>
        <w:jc w:val="left"/>
        <w:rPr>
          <w:rFonts w:hint="eastAsia" w:ascii="宋体" w:hAnsi="宋体" w:eastAsia="宋体" w:cs="宋体"/>
          <w:color w:val="auto"/>
          <w:kern w:val="2"/>
          <w:sz w:val="32"/>
          <w:szCs w:val="32"/>
          <w:highlight w:val="none"/>
          <w:u w:val="single" w:color="000000"/>
          <w:lang w:val="zh-TW" w:eastAsia="zh-CN" w:bidi="ar-SA"/>
        </w:rPr>
      </w:pPr>
      <w:r>
        <w:rPr>
          <w:rFonts w:hint="eastAsia" w:ascii="宋体" w:hAnsi="宋体" w:eastAsia="宋体" w:cs="宋体"/>
          <w:color w:val="auto"/>
          <w:kern w:val="2"/>
          <w:sz w:val="32"/>
          <w:szCs w:val="32"/>
          <w:highlight w:val="none"/>
          <w:u w:color="000000"/>
          <w:lang w:val="en-US" w:eastAsia="zh-CN" w:bidi="ar-SA"/>
        </w:rPr>
        <w:t>响应人</w:t>
      </w:r>
      <w:r>
        <w:rPr>
          <w:rFonts w:hint="eastAsia" w:ascii="宋体" w:hAnsi="宋体" w:eastAsia="宋体" w:cs="宋体"/>
          <w:color w:val="auto"/>
          <w:kern w:val="2"/>
          <w:sz w:val="32"/>
          <w:szCs w:val="32"/>
          <w:highlight w:val="none"/>
          <w:u w:color="000000"/>
          <w:lang w:val="zh-TW" w:eastAsia="zh-TW" w:bidi="ar-SA"/>
        </w:rPr>
        <w:t>：</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p>
    <w:p w14:paraId="00F3CE29">
      <w:pPr>
        <w:widowControl w:val="0"/>
        <w:wordWrap w:val="0"/>
        <w:adjustRightInd w:val="0"/>
        <w:snapToGrid w:val="0"/>
        <w:spacing w:line="360" w:lineRule="auto"/>
        <w:ind w:left="0" w:leftChars="0" w:firstLine="480" w:firstLineChars="150"/>
        <w:jc w:val="both"/>
        <w:rPr>
          <w:rFonts w:hint="eastAsia" w:ascii="宋体" w:hAnsi="宋体" w:eastAsia="宋体" w:cs="宋体"/>
          <w:color w:val="auto"/>
          <w:kern w:val="2"/>
          <w:sz w:val="32"/>
          <w:szCs w:val="32"/>
          <w:highlight w:val="none"/>
          <w:u w:val="single" w:color="000000"/>
          <w:lang w:val="en-US" w:eastAsia="zh-TW" w:bidi="ar-SA"/>
        </w:rPr>
      </w:pPr>
      <w:r>
        <w:rPr>
          <w:rFonts w:hint="eastAsia" w:ascii="宋体" w:hAnsi="宋体" w:eastAsia="宋体" w:cs="宋体"/>
          <w:color w:val="auto"/>
          <w:kern w:val="2"/>
          <w:sz w:val="32"/>
          <w:szCs w:val="32"/>
          <w:highlight w:val="none"/>
          <w:u w:color="000000"/>
          <w:lang w:val="en-US" w:eastAsia="zh-TW" w:bidi="ar-SA"/>
        </w:rPr>
        <w:t>法定代表人或其委托代理人：</w:t>
      </w:r>
      <w:r>
        <w:rPr>
          <w:rFonts w:hint="eastAsia" w:ascii="宋体" w:hAnsi="宋体" w:eastAsia="宋体" w:cs="宋体"/>
          <w:color w:val="auto"/>
          <w:kern w:val="2"/>
          <w:sz w:val="32"/>
          <w:szCs w:val="32"/>
          <w:highlight w:val="none"/>
          <w:u w:val="single" w:color="000000"/>
          <w:lang w:val="en-US" w:eastAsia="zh-TW" w:bidi="ar-SA"/>
        </w:rPr>
        <w:t xml:space="preserve">        </w:t>
      </w:r>
    </w:p>
    <w:p w14:paraId="77EFD1CB">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436CA819">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69C8B3F5">
      <w:pPr>
        <w:widowControl w:val="0"/>
        <w:wordWrap w:val="0"/>
        <w:adjustRightInd w:val="0"/>
        <w:snapToGrid w:val="0"/>
        <w:spacing w:line="360" w:lineRule="auto"/>
        <w:ind w:left="0" w:leftChars="0" w:firstLine="0" w:firstLineChars="0"/>
        <w:jc w:val="center"/>
        <w:rPr>
          <w:rFonts w:hint="eastAsia" w:ascii="宋体" w:hAnsi="宋体" w:eastAsia="宋体" w:cs="宋体"/>
          <w:color w:val="auto"/>
          <w:kern w:val="2"/>
          <w:sz w:val="32"/>
          <w:szCs w:val="32"/>
          <w:highlight w:val="none"/>
          <w:u w:color="000000"/>
          <w:lang w:val="en-US" w:eastAsia="zh-CN" w:bidi="ar-SA"/>
        </w:rPr>
      </w:pPr>
      <w:r>
        <w:rPr>
          <w:rFonts w:hint="eastAsia" w:ascii="宋体" w:hAnsi="宋体" w:eastAsia="宋体" w:cs="宋体"/>
          <w:color w:val="auto"/>
          <w:kern w:val="2"/>
          <w:sz w:val="32"/>
          <w:szCs w:val="32"/>
          <w:highlight w:val="none"/>
          <w:u w:color="000000"/>
          <w:lang w:val="zh-TW" w:eastAsia="zh-TW" w:bidi="ar-SA"/>
        </w:rPr>
        <w:t xml:space="preserve">编制日期：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年</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月</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日</w:t>
      </w:r>
    </w:p>
    <w:p w14:paraId="25D1B0AF">
      <w:pPr>
        <w:widowControl w:val="0"/>
        <w:wordWrap w:val="0"/>
        <w:spacing w:line="520" w:lineRule="exact"/>
        <w:ind w:firstLine="177"/>
        <w:jc w:val="center"/>
        <w:rPr>
          <w:rFonts w:hint="eastAsia" w:ascii="宋体" w:hAnsi="宋体" w:eastAsia="宋体" w:cs="宋体"/>
          <w:b/>
          <w:bCs/>
          <w:color w:val="auto"/>
          <w:kern w:val="2"/>
          <w:sz w:val="30"/>
          <w:szCs w:val="30"/>
          <w:highlight w:val="none"/>
          <w:u w:color="000000"/>
          <w:lang w:val="en-US" w:eastAsia="zh-CN" w:bidi="ar-SA"/>
        </w:rPr>
      </w:pPr>
    </w:p>
    <w:p w14:paraId="0EEC2C3F">
      <w:pPr>
        <w:widowControl w:val="0"/>
        <w:wordWrap w:val="0"/>
        <w:adjustRightInd w:val="0"/>
        <w:snapToGrid w:val="0"/>
        <w:spacing w:line="360" w:lineRule="auto"/>
        <w:ind w:firstLine="1440"/>
        <w:jc w:val="center"/>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highlight w:val="none"/>
          <w:u w:color="000000"/>
          <w:lang w:val="en-US" w:eastAsia="zh-CN" w:bidi="ar-SA"/>
        </w:rPr>
        <w:br w:type="page"/>
      </w:r>
    </w:p>
    <w:p w14:paraId="79C524D2">
      <w:pPr>
        <w:widowControl w:val="0"/>
        <w:wordWrap w:val="0"/>
        <w:adjustRightInd w:val="0"/>
        <w:snapToGrid w:val="0"/>
        <w:spacing w:line="360" w:lineRule="auto"/>
        <w:jc w:val="both"/>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u w:color="000000"/>
          <w:lang w:val="en-US" w:eastAsia="zh-CN" w:bidi="ar-SA"/>
        </w:rPr>
        <w:t>一、报价函格式</w:t>
      </w:r>
    </w:p>
    <w:p w14:paraId="0A3E9B6A">
      <w:pPr>
        <w:widowControl/>
        <w:wordWrap w:val="0"/>
        <w:jc w:val="center"/>
        <w:rPr>
          <w:rFonts w:hint="eastAsia" w:ascii="宋体" w:hAnsi="宋体" w:eastAsia="宋体" w:cs="宋体"/>
          <w:b w:val="0"/>
          <w:bCs w:val="0"/>
          <w:color w:val="auto"/>
          <w:kern w:val="0"/>
          <w:sz w:val="30"/>
          <w:szCs w:val="30"/>
          <w:lang w:val="en-US" w:eastAsia="zh-CN"/>
        </w:rPr>
      </w:pPr>
    </w:p>
    <w:p w14:paraId="5CBE2D13">
      <w:pPr>
        <w:widowControl w:val="0"/>
        <w:numPr>
          <w:ilvl w:val="0"/>
          <w:numId w:val="0"/>
        </w:numPr>
        <w:wordWrap w:val="0"/>
        <w:spacing w:line="520" w:lineRule="exact"/>
        <w:jc w:val="left"/>
        <w:rPr>
          <w:rFonts w:hint="default" w:ascii="宋体" w:hAnsi="宋体" w:eastAsia="宋体" w:cs="宋体"/>
          <w:b w:val="0"/>
          <w:bCs w:val="0"/>
          <w:color w:val="auto"/>
          <w:kern w:val="2"/>
          <w:sz w:val="30"/>
          <w:szCs w:val="30"/>
          <w:u w:color="000000"/>
          <w:lang w:val="en-US" w:eastAsia="zh-CN" w:bidi="ar-SA"/>
        </w:rPr>
      </w:pPr>
      <w:r>
        <w:rPr>
          <w:rFonts w:hint="eastAsia" w:ascii="宋体" w:hAnsi="宋体" w:eastAsia="宋体" w:cs="宋体"/>
          <w:b w:val="0"/>
          <w:bCs w:val="0"/>
          <w:color w:val="auto"/>
          <w:kern w:val="2"/>
          <w:sz w:val="30"/>
          <w:szCs w:val="30"/>
          <w:u w:color="000000"/>
          <w:lang w:val="en-US" w:eastAsia="zh-CN" w:bidi="ar-SA"/>
        </w:rPr>
        <w:t>1：根据竞价文件的“第三部分 工程量清单”填写报价函</w:t>
      </w:r>
    </w:p>
    <w:p w14:paraId="46DB7C0D">
      <w:pPr>
        <w:widowControl w:val="0"/>
        <w:wordWrap w:val="0"/>
        <w:spacing w:line="520" w:lineRule="exact"/>
        <w:jc w:val="left"/>
        <w:rPr>
          <w:rFonts w:hint="eastAsia" w:ascii="宋体" w:hAnsi="宋体" w:eastAsia="宋体" w:cs="宋体"/>
          <w:b w:val="0"/>
          <w:bCs w:val="0"/>
          <w:color w:val="auto"/>
          <w:kern w:val="2"/>
          <w:sz w:val="30"/>
          <w:szCs w:val="30"/>
          <w:u w:color="000000"/>
          <w:lang w:val="en-US" w:eastAsia="zh-CN" w:bidi="ar-SA"/>
        </w:rPr>
      </w:pPr>
    </w:p>
    <w:p w14:paraId="43B87497">
      <w:pPr>
        <w:widowControl/>
        <w:jc w:val="left"/>
        <w:rPr>
          <w:rFonts w:ascii="宋体" w:hAnsi="宋体" w:eastAsia="宋体" w:cs="宋体"/>
          <w:b w:val="0"/>
          <w:bCs w:val="0"/>
          <w:color w:val="auto"/>
          <w:kern w:val="0"/>
          <w:sz w:val="30"/>
          <w:szCs w:val="30"/>
          <w:lang w:eastAsia="en-US"/>
        </w:rPr>
      </w:pPr>
      <w:bookmarkStart w:id="18" w:name="_Toc480462724"/>
      <w:bookmarkStart w:id="19" w:name="_Toc474920011"/>
      <w:bookmarkStart w:id="20" w:name="_Toc486837000"/>
      <w:bookmarkStart w:id="21" w:name="_Toc39826987"/>
    </w:p>
    <w:p w14:paraId="57A9ED40">
      <w:pPr>
        <w:widowControl/>
        <w:jc w:val="left"/>
        <w:rPr>
          <w:rFonts w:ascii="宋体" w:hAnsi="宋体" w:eastAsia="宋体" w:cs="宋体"/>
          <w:b w:val="0"/>
          <w:bCs w:val="0"/>
          <w:color w:val="auto"/>
          <w:kern w:val="0"/>
          <w:sz w:val="30"/>
          <w:szCs w:val="30"/>
          <w:lang w:eastAsia="en-US"/>
        </w:rPr>
      </w:pPr>
    </w:p>
    <w:p w14:paraId="0D44F96D">
      <w:pPr>
        <w:widowControl/>
        <w:jc w:val="left"/>
        <w:rPr>
          <w:rFonts w:ascii="宋体" w:hAnsi="宋体" w:eastAsia="宋体" w:cs="宋体"/>
          <w:b w:val="0"/>
          <w:bCs w:val="0"/>
          <w:color w:val="auto"/>
          <w:kern w:val="0"/>
          <w:sz w:val="30"/>
          <w:szCs w:val="30"/>
          <w:lang w:eastAsia="en-US"/>
        </w:rPr>
      </w:pPr>
    </w:p>
    <w:p w14:paraId="1D03179C">
      <w:pPr>
        <w:widowControl/>
        <w:jc w:val="left"/>
        <w:rPr>
          <w:rFonts w:ascii="宋体" w:hAnsi="宋体" w:eastAsia="宋体" w:cs="宋体"/>
          <w:b w:val="0"/>
          <w:bCs w:val="0"/>
          <w:color w:val="auto"/>
          <w:kern w:val="0"/>
          <w:sz w:val="30"/>
          <w:szCs w:val="30"/>
          <w:lang w:eastAsia="en-US"/>
        </w:rPr>
      </w:pPr>
    </w:p>
    <w:p w14:paraId="3838A5F4">
      <w:pPr>
        <w:widowControl/>
        <w:jc w:val="left"/>
        <w:rPr>
          <w:rFonts w:ascii="宋体" w:hAnsi="宋体" w:eastAsia="宋体" w:cs="宋体"/>
          <w:b w:val="0"/>
          <w:bCs w:val="0"/>
          <w:color w:val="auto"/>
          <w:kern w:val="0"/>
          <w:sz w:val="30"/>
          <w:szCs w:val="30"/>
          <w:lang w:eastAsia="en-US"/>
        </w:rPr>
      </w:pPr>
    </w:p>
    <w:p w14:paraId="06AB9069">
      <w:pPr>
        <w:widowControl/>
        <w:jc w:val="left"/>
        <w:rPr>
          <w:rFonts w:ascii="宋体" w:hAnsi="宋体" w:eastAsia="宋体" w:cs="宋体"/>
          <w:b w:val="0"/>
          <w:bCs w:val="0"/>
          <w:color w:val="auto"/>
          <w:kern w:val="0"/>
          <w:sz w:val="30"/>
          <w:szCs w:val="30"/>
          <w:lang w:eastAsia="en-US"/>
        </w:rPr>
      </w:pPr>
    </w:p>
    <w:p w14:paraId="3DEA0698">
      <w:pPr>
        <w:widowControl/>
        <w:jc w:val="left"/>
        <w:rPr>
          <w:rFonts w:ascii="宋体" w:hAnsi="宋体" w:eastAsia="宋体" w:cs="宋体"/>
          <w:b w:val="0"/>
          <w:bCs w:val="0"/>
          <w:color w:val="auto"/>
          <w:kern w:val="0"/>
          <w:sz w:val="30"/>
          <w:szCs w:val="30"/>
          <w:lang w:eastAsia="en-US"/>
        </w:rPr>
      </w:pPr>
    </w:p>
    <w:p w14:paraId="0F6F0E86">
      <w:pPr>
        <w:widowControl/>
        <w:jc w:val="left"/>
        <w:rPr>
          <w:rFonts w:ascii="宋体" w:hAnsi="宋体" w:eastAsia="宋体" w:cs="宋体"/>
          <w:b w:val="0"/>
          <w:bCs w:val="0"/>
          <w:color w:val="auto"/>
          <w:kern w:val="0"/>
          <w:sz w:val="30"/>
          <w:szCs w:val="30"/>
          <w:lang w:eastAsia="zh-CN"/>
        </w:rPr>
      </w:pPr>
    </w:p>
    <w:bookmarkEnd w:id="18"/>
    <w:bookmarkEnd w:id="19"/>
    <w:bookmarkEnd w:id="20"/>
    <w:bookmarkEnd w:id="21"/>
    <w:p w14:paraId="2676C4C5">
      <w:pPr>
        <w:widowControl w:val="0"/>
        <w:wordWrap w:val="0"/>
        <w:adjustRightInd w:val="0"/>
        <w:snapToGrid w:val="0"/>
        <w:spacing w:line="360" w:lineRule="auto"/>
        <w:jc w:val="both"/>
        <w:rPr>
          <w:rFonts w:hint="default" w:ascii="宋体" w:hAnsi="宋体" w:eastAsia="宋体" w:cs="宋体"/>
          <w:color w:val="auto"/>
          <w:kern w:val="2"/>
          <w:sz w:val="32"/>
          <w:szCs w:val="32"/>
          <w:u w:color="000000"/>
          <w:lang w:val="en-US" w:eastAsia="zh-CN" w:bidi="ar-SA"/>
        </w:rPr>
      </w:pPr>
      <w:r>
        <w:rPr>
          <w:rFonts w:hint="eastAsia" w:ascii="宋体" w:hAnsi="宋体" w:eastAsia="宋体" w:cs="宋体"/>
          <w:b/>
          <w:bCs/>
          <w:color w:val="auto"/>
          <w:kern w:val="2"/>
          <w:sz w:val="30"/>
          <w:szCs w:val="30"/>
          <w:u w:color="000000"/>
          <w:lang w:val="en-US" w:eastAsia="zh-CN" w:bidi="ar-SA"/>
        </w:rPr>
        <w:t>二、营业执照（或事业法人登记证等相关证明）副本复印件</w:t>
      </w:r>
    </w:p>
    <w:p w14:paraId="244DEB29">
      <w:pPr>
        <w:widowControl w:val="0"/>
        <w:wordWrap w:val="0"/>
        <w:adjustRightInd w:val="0"/>
        <w:snapToGrid w:val="0"/>
        <w:spacing w:line="360" w:lineRule="auto"/>
        <w:jc w:val="both"/>
        <w:rPr>
          <w:rFonts w:hint="eastAsia" w:ascii="宋体" w:hAnsi="宋体" w:eastAsia="宋体" w:cs="宋体"/>
          <w:b/>
          <w:bCs/>
          <w:color w:val="auto"/>
          <w:kern w:val="2"/>
          <w:sz w:val="30"/>
          <w:szCs w:val="30"/>
          <w:highlight w:val="none"/>
          <w:u w:color="000000"/>
          <w:lang w:val="en-US" w:eastAsia="zh-CN" w:bidi="ar-SA"/>
        </w:rPr>
      </w:pPr>
    </w:p>
    <w:p w14:paraId="20C4C891">
      <w:pPr>
        <w:widowControl w:val="0"/>
        <w:wordWrap w:val="0"/>
        <w:adjustRightInd w:val="0"/>
        <w:snapToGrid w:val="0"/>
        <w:spacing w:line="360" w:lineRule="auto"/>
        <w:ind w:firstLine="640" w:firstLineChars="200"/>
        <w:jc w:val="both"/>
        <w:rPr>
          <w:rFonts w:hint="eastAsia" w:ascii="宋体" w:hAnsi="宋体" w:eastAsia="宋体" w:cs="宋体"/>
          <w:color w:val="auto"/>
          <w:kern w:val="2"/>
          <w:sz w:val="32"/>
          <w:szCs w:val="32"/>
          <w:highlight w:val="none"/>
          <w:u w:color="000000"/>
          <w:lang w:val="en-US" w:eastAsia="zh-CN" w:bidi="ar-SA"/>
        </w:rPr>
      </w:pPr>
    </w:p>
    <w:p w14:paraId="11EF59B0">
      <w:pPr>
        <w:rPr>
          <w:color w:val="auto"/>
        </w:rPr>
      </w:pPr>
    </w:p>
    <w:sectPr>
      <w:pgSz w:w="11900" w:h="16840"/>
      <w:pgMar w:top="1440" w:right="1457"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roman"/>
    <w:pitch w:val="default"/>
    <w:sig w:usb0="00000000" w:usb1="00000000" w:usb2="0000003F" w:usb3="00000000" w:csb0="603F01FF" w:csb1="FFFF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tabs>
        <w:tab w:val="right" w:pos="9020"/>
      </w:tabs>
      <w:rPr>
        <w:rFonts w:hint="eastAsia" w:ascii="Helvetica Neue" w:hAnsi="Helvetica Neue" w:eastAsia="Arial Unicode MS" w:cs="Arial Unicode MS"/>
        <w:color w:val="000000"/>
        <w:sz w:val="24"/>
        <w:szCs w:val="24"/>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tabs>
        <w:tab w:val="right" w:pos="9020"/>
      </w:tabs>
      <w:rPr>
        <w:rFonts w:hint="eastAsia" w:ascii="Helvetica Neue" w:hAnsi="Helvetica Neue" w:eastAsia="Arial Unicode MS" w:cs="Arial Unicode MS"/>
        <w:color w:val="000000"/>
        <w:sz w:val="24"/>
        <w:szCs w:val="24"/>
        <w:lang w:val="en-US" w:eastAsia="zh-CN" w:bidi="ar-SA"/>
      </w:rPr>
    </w:pPr>
    <w:r>
      <w:rPr>
        <w:rFonts w:ascii="Helvetica Neue" w:hAnsi="Helvetica Neue" w:eastAsia="Arial Unicode MS" w:cs="Arial Unicode MS"/>
        <w:color w:val="000000"/>
        <w:sz w:val="24"/>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style>
                      <a:lnRef idx="0">
                        <a:srgbClr val="FFFFFF"/>
                      </a:lnRef>
                      <a:fillRef idx="0">
                        <a:srgbClr val="FFFFFF"/>
                      </a:fillRef>
                      <a:effectRef idx="0">
                        <a:srgbClr val="FFFFFF"/>
                      </a:effectRef>
                      <a:fontRef idx="none"/>
                    </wps:style>
                    <wps:txbx>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32</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15</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32</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15</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2AD3D">
    <w:pPr>
      <w:pStyle w:val="4"/>
      <w:jc w:val="center"/>
      <w:rPr>
        <w:rFonts w:hint="eastAsia" w:ascii="Times New Roman" w:hAnsi="Times New Roman" w:eastAsia="宋体" w:cs="Times New Roman"/>
      </w:rPr>
    </w:pPr>
    <w:r>
      <w:rPr>
        <w:rFonts w:ascii="Times New Roman" w:hAnsi="Times New Roman" w:eastAsia="宋体" w:cs="Times New Roman"/>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094D3B">
                          <w:pPr>
                            <w:pStyle w:val="4"/>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29</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39</w:t>
                          </w:r>
                          <w:r>
                            <w:rPr>
                              <w:rFonts w:cs="Times New Roman"/>
                            </w:rPr>
                            <w:fldChar w:fldCharType="end"/>
                          </w:r>
                          <w:r>
                            <w:rPr>
                              <w:rFonts w:cs="Times New Roma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3094D3B">
                    <w:pPr>
                      <w:pStyle w:val="4"/>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29</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39</w:t>
                    </w:r>
                    <w:r>
                      <w:rPr>
                        <w:rFonts w:cs="Times New Roman"/>
                      </w:rPr>
                      <w:fldChar w:fldCharType="end"/>
                    </w:r>
                    <w:r>
                      <w:rPr>
                        <w:rFonts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tabs>
        <w:tab w:val="right" w:pos="9020"/>
      </w:tabs>
      <w:rPr>
        <w:rFonts w:hint="eastAsia" w:ascii="Helvetica Neue" w:hAnsi="Helvetica Neue" w:eastAsia="Arial Unicode MS" w:cs="Arial Unicode MS"/>
        <w:color w:val="000000"/>
        <w:sz w:val="24"/>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372DF0E5"/>
    <w:multiLevelType w:val="singleLevel"/>
    <w:tmpl w:val="372DF0E5"/>
    <w:lvl w:ilvl="0" w:tentative="0">
      <w:start w:val="5"/>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7B37C0"/>
    <w:rsid w:val="01FC290A"/>
    <w:rsid w:val="02D37EB0"/>
    <w:rsid w:val="0EAA76D6"/>
    <w:rsid w:val="12516798"/>
    <w:rsid w:val="1C581A4E"/>
    <w:rsid w:val="2465270E"/>
    <w:rsid w:val="273307EA"/>
    <w:rsid w:val="31C33762"/>
    <w:rsid w:val="34A80A94"/>
    <w:rsid w:val="403F7575"/>
    <w:rsid w:val="4A537A00"/>
    <w:rsid w:val="56023A77"/>
    <w:rsid w:val="5C1B2DDE"/>
    <w:rsid w:val="5F406378"/>
    <w:rsid w:val="62406095"/>
    <w:rsid w:val="63020250"/>
    <w:rsid w:val="672A074E"/>
    <w:rsid w:val="695B3EE0"/>
    <w:rsid w:val="6C7B37C0"/>
    <w:rsid w:val="6D307C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仿宋" w:hAnsi="仿宋" w:eastAsia="微软雅黑" w:cs="仿宋"/>
      <w:b/>
      <w:bCs/>
      <w:kern w:val="44"/>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qFormat/>
    <w:uiPriority w:val="0"/>
    <w:pPr>
      <w:widowControl w:val="0"/>
      <w:spacing w:after="120" w:afterLines="0" w:afterAutospacing="0"/>
      <w:jc w:val="both"/>
    </w:pPr>
    <w:rPr>
      <w:rFonts w:ascii="Times New Roman" w:hAnsi="Times New Roman" w:eastAsia="宋体" w:cs="Times New Roman"/>
      <w:kern w:val="2"/>
      <w:sz w:val="21"/>
      <w:lang w:val="en-US" w:eastAsia="zh-CN" w:bidi="ar-SA"/>
    </w:rPr>
  </w:style>
  <w:style w:type="paragraph" w:styleId="4">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5">
    <w:name w:val="header"/>
    <w:semiHidden/>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6">
    <w:name w:val="toc 1"/>
    <w:basedOn w:val="1"/>
    <w:next w:val="1"/>
    <w:qFormat/>
    <w:uiPriority w:val="0"/>
  </w:style>
  <w:style w:type="paragraph" w:styleId="7">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character" w:styleId="10">
    <w:name w:val="Strong"/>
    <w:qFormat/>
    <w:uiPriority w:val="0"/>
    <w:rPr>
      <w:b/>
      <w:bCs/>
    </w:rPr>
  </w:style>
  <w:style w:type="character" w:styleId="11">
    <w:name w:val="page number"/>
    <w:qFormat/>
    <w:uiPriority w:val="0"/>
  </w:style>
  <w:style w:type="paragraph" w:customStyle="1" w:styleId="12">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character" w:customStyle="1" w:styleId="13">
    <w:name w:val="font121"/>
    <w:basedOn w:val="9"/>
    <w:qFormat/>
    <w:uiPriority w:val="0"/>
    <w:rPr>
      <w:rFonts w:hint="eastAsia" w:ascii="宋体" w:hAnsi="宋体" w:eastAsia="宋体" w:cs="宋体"/>
      <w:color w:val="000000"/>
      <w:sz w:val="28"/>
      <w:szCs w:val="28"/>
      <w:u w:val="none"/>
    </w:rPr>
  </w:style>
  <w:style w:type="character" w:customStyle="1" w:styleId="14">
    <w:name w:val="font31"/>
    <w:basedOn w:val="9"/>
    <w:qFormat/>
    <w:uiPriority w:val="0"/>
    <w:rPr>
      <w:rFonts w:hint="eastAsia" w:ascii="宋体" w:hAnsi="宋体" w:eastAsia="宋体" w:cs="宋体"/>
      <w:b/>
      <w:bCs/>
      <w:color w:val="000000"/>
      <w:sz w:val="48"/>
      <w:szCs w:val="48"/>
      <w:u w:val="none"/>
    </w:rPr>
  </w:style>
  <w:style w:type="character" w:customStyle="1" w:styleId="15">
    <w:name w:val="font112"/>
    <w:basedOn w:val="9"/>
    <w:qFormat/>
    <w:uiPriority w:val="0"/>
    <w:rPr>
      <w:rFonts w:hint="eastAsia" w:ascii="宋体" w:hAnsi="宋体" w:eastAsia="宋体" w:cs="宋体"/>
      <w:color w:val="000000"/>
      <w:sz w:val="28"/>
      <w:szCs w:val="28"/>
      <w:u w:val="none"/>
    </w:rPr>
  </w:style>
  <w:style w:type="character" w:customStyle="1" w:styleId="16">
    <w:name w:val="font101"/>
    <w:basedOn w:val="9"/>
    <w:qFormat/>
    <w:uiPriority w:val="0"/>
    <w:rPr>
      <w:rFonts w:hint="eastAsia" w:ascii="宋体" w:hAnsi="宋体" w:eastAsia="宋体" w:cs="宋体"/>
      <w:color w:val="000000"/>
      <w:sz w:val="28"/>
      <w:szCs w:val="28"/>
      <w:u w:val="none"/>
    </w:rPr>
  </w:style>
  <w:style w:type="character" w:customStyle="1" w:styleId="17">
    <w:name w:val="font21"/>
    <w:basedOn w:val="9"/>
    <w:qFormat/>
    <w:uiPriority w:val="0"/>
    <w:rPr>
      <w:rFonts w:hint="eastAsia" w:ascii="宋体" w:hAnsi="宋体" w:eastAsia="宋体" w:cs="宋体"/>
      <w:color w:val="000000"/>
      <w:sz w:val="24"/>
      <w:szCs w:val="24"/>
      <w:u w:val="none"/>
    </w:rPr>
  </w:style>
  <w:style w:type="character" w:customStyle="1" w:styleId="18">
    <w:name w:val="font91"/>
    <w:basedOn w:val="9"/>
    <w:qFormat/>
    <w:uiPriority w:val="0"/>
    <w:rPr>
      <w:rFonts w:hint="eastAsia" w:ascii="宋体" w:hAnsi="宋体" w:eastAsia="宋体" w:cs="宋体"/>
      <w:b/>
      <w:bCs/>
      <w:color w:val="000000"/>
      <w:sz w:val="40"/>
      <w:szCs w:val="40"/>
      <w:u w:val="none"/>
    </w:rPr>
  </w:style>
  <w:style w:type="character" w:customStyle="1" w:styleId="19">
    <w:name w:val="font51"/>
    <w:basedOn w:val="9"/>
    <w:qFormat/>
    <w:uiPriority w:val="0"/>
    <w:rPr>
      <w:rFonts w:hint="eastAsia" w:ascii="宋体" w:hAnsi="宋体" w:eastAsia="宋体" w:cs="宋体"/>
      <w:b/>
      <w:bCs/>
      <w:color w:val="000000"/>
      <w:sz w:val="20"/>
      <w:szCs w:val="20"/>
      <w:u w:val="none"/>
    </w:rPr>
  </w:style>
  <w:style w:type="character" w:customStyle="1" w:styleId="20">
    <w:name w:val="font81"/>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31</Pages>
  <Words>1215</Words>
  <Characters>1366</Characters>
  <Lines>0</Lines>
  <Paragraphs>0</Paragraphs>
  <TotalTime>1</TotalTime>
  <ScaleCrop>false</ScaleCrop>
  <LinksUpToDate>false</LinksUpToDate>
  <CharactersWithSpaces>1391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2025-01-13T09:27:00Z</dcterms:created>
  <dc:creator>H</dc:creator>
  <cp:lastModifiedBy>WPS_1734938428</cp:lastModifiedBy>
  <dcterms:modified xsi:type="dcterms:W3CDTF">2025-04-01T08:31:42Z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E36301E4A0AA4E4E8E4F0ABA89AE10F5_13</vt:lpwstr>
  </property>
  <property fmtid="{D5CDD505-2E9C-101B-9397-08002B2CF9AE}" pid="4" name="KSOTemplateDocerSaveRecord">
    <vt:lpwstr>eyJoZGlkIjoiZTcwNDdlYTI1OTFhMDMyZjIzNDQ4NGFmYzk0ZjJkYmQiLCJ1c2VySWQiOiIxNjY4MjkxOTUwIn0=</vt:lpwstr>
  </property>
</Properties>
</file>