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5B5B5F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40"/>
          <w:szCs w:val="40"/>
          <w:u w:val="none" w:color="auto"/>
          <w:lang w:eastAsia="zh-CN"/>
        </w:rPr>
      </w:pPr>
    </w:p>
    <w:p w14:paraId="34835964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宋体"/>
          <w:b/>
          <w:bCs w:val="0"/>
          <w:color w:val="auto"/>
          <w:sz w:val="40"/>
          <w:szCs w:val="40"/>
          <w:u w:val="none" w:color="auto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pacing w:val="21"/>
          <w:sz w:val="40"/>
          <w:szCs w:val="40"/>
          <w:u w:val="none" w:color="auto"/>
          <w:lang w:eastAsia="zh-CN"/>
        </w:rPr>
        <w:t>惠东产业转移工业园鹏泰一路及鹏顺路一期道路工程项目</w:t>
      </w:r>
    </w:p>
    <w:p w14:paraId="77040CC6">
      <w:pPr>
        <w:framePr w:wrap="auto" w:vAnchor="margin" w:hAnchor="text" w:yAlign="inline"/>
        <w:widowControl w:val="0"/>
        <w:wordWrap w:val="0"/>
        <w:spacing w:line="240" w:lineRule="auto"/>
        <w:ind w:firstLine="0" w:firstLineChars="0"/>
        <w:jc w:val="left"/>
        <w:outlineLvl w:val="9"/>
        <w:rPr>
          <w:rFonts w:hint="eastAsia" w:ascii="宋体" w:hAnsi="宋体" w:eastAsia="宋体" w:cs="宋体"/>
          <w:color w:val="auto"/>
          <w:sz w:val="40"/>
          <w:szCs w:val="40"/>
          <w:lang w:eastAsia="zh-CN"/>
        </w:rPr>
      </w:pPr>
      <w:r>
        <w:rPr>
          <w:rFonts w:hint="eastAsia" w:ascii="宋体" w:hAnsi="宋体" w:eastAsia="宋体" w:cs="宋体"/>
          <w:color w:val="auto"/>
          <w:sz w:val="40"/>
          <w:szCs w:val="40"/>
          <w:lang w:eastAsia="zh-CN"/>
        </w:rPr>
        <w:t xml:space="preserve">      </w:t>
      </w:r>
    </w:p>
    <w:p w14:paraId="6040DD96">
      <w:pPr>
        <w:framePr w:wrap="auto" w:vAnchor="margin" w:hAnchor="text" w:yAlign="inline"/>
        <w:widowControl w:val="0"/>
        <w:wordWrap w:val="0"/>
        <w:spacing w:line="240" w:lineRule="auto"/>
        <w:ind w:firstLine="0" w:firstLineChars="0"/>
        <w:jc w:val="both"/>
        <w:outlineLvl w:val="9"/>
        <w:rPr>
          <w:rFonts w:ascii="宋体" w:hAnsi="宋体" w:eastAsia="宋体"/>
          <w:color w:val="auto"/>
          <w:sz w:val="32"/>
          <w:szCs w:val="32"/>
          <w:lang w:eastAsia="zh-CN"/>
        </w:rPr>
      </w:pPr>
    </w:p>
    <w:p w14:paraId="073D2E85">
      <w:pPr>
        <w:framePr w:wrap="auto" w:vAnchor="margin" w:hAnchor="text" w:yAlign="inline"/>
        <w:spacing w:line="240" w:lineRule="auto"/>
        <w:ind w:firstLine="0" w:firstLineChars="0"/>
        <w:jc w:val="both"/>
        <w:outlineLvl w:val="9"/>
        <w:rPr>
          <w:rFonts w:hint="eastAsia"/>
          <w:color w:val="auto"/>
          <w:sz w:val="40"/>
          <w:szCs w:val="40"/>
          <w:u w:val="none"/>
          <w:lang w:val="en-US" w:eastAsia="zh-CN"/>
        </w:rPr>
      </w:pPr>
    </w:p>
    <w:p w14:paraId="7E2A9896">
      <w:pPr>
        <w:framePr w:wrap="auto" w:vAnchor="margin" w:hAnchor="text" w:yAlign="inline"/>
        <w:spacing w:line="240" w:lineRule="auto"/>
        <w:ind w:firstLine="0" w:firstLineChars="0"/>
        <w:outlineLvl w:val="9"/>
        <w:rPr>
          <w:rFonts w:hint="eastAsia"/>
          <w:color w:val="auto"/>
          <w:sz w:val="52"/>
          <w:szCs w:val="52"/>
          <w:lang w:val="en-US" w:eastAsia="zh-CN"/>
        </w:rPr>
      </w:pPr>
    </w:p>
    <w:p w14:paraId="2AAF4D1F">
      <w:pPr>
        <w:framePr w:wrap="auto" w:vAnchor="margin" w:hAnchor="text" w:yAlign="inline"/>
        <w:spacing w:line="240" w:lineRule="auto"/>
        <w:ind w:firstLine="0" w:firstLineChars="0"/>
        <w:outlineLvl w:val="9"/>
        <w:rPr>
          <w:rFonts w:hint="eastAsia"/>
          <w:color w:val="auto"/>
          <w:sz w:val="52"/>
          <w:szCs w:val="52"/>
          <w:lang w:val="en-US" w:eastAsia="zh-CN"/>
        </w:rPr>
      </w:pPr>
    </w:p>
    <w:p w14:paraId="4CC9C6EF">
      <w:pPr>
        <w:framePr w:wrap="auto" w:vAnchor="margin" w:hAnchor="text" w:yAlign="inline"/>
        <w:rPr>
          <w:rFonts w:hint="eastAsia"/>
          <w:color w:val="auto"/>
          <w:sz w:val="52"/>
          <w:szCs w:val="52"/>
          <w:lang w:val="en-US" w:eastAsia="zh-CN"/>
        </w:rPr>
      </w:pPr>
    </w:p>
    <w:p w14:paraId="027C4E1C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/>
          <w:b/>
          <w:color w:val="auto"/>
          <w:sz w:val="52"/>
          <w:szCs w:val="52"/>
          <w:u w:val="none"/>
          <w:lang w:val="en-US" w:eastAsia="zh-CN"/>
        </w:rPr>
      </w:pPr>
    </w:p>
    <w:p w14:paraId="41AA25D3">
      <w:pPr>
        <w:framePr w:wrap="auto" w:vAnchor="margin" w:hAnchor="text" w:yAlign="inline"/>
        <w:widowControl w:val="0"/>
        <w:wordWrap w:val="0"/>
        <w:spacing w:line="288" w:lineRule="auto"/>
        <w:ind w:right="233" w:rightChars="97"/>
        <w:jc w:val="center"/>
        <w:rPr>
          <w:rFonts w:ascii="宋体" w:hAnsi="宋体" w:eastAsia="宋体"/>
          <w:b/>
          <w:color w:val="auto"/>
          <w:sz w:val="52"/>
          <w:szCs w:val="52"/>
          <w:u w:val="none"/>
          <w:lang w:eastAsia="zh-CN"/>
        </w:rPr>
      </w:pPr>
      <w:r>
        <w:rPr>
          <w:rFonts w:hint="eastAsia" w:ascii="宋体" w:hAnsi="宋体" w:eastAsia="宋体"/>
          <w:b/>
          <w:color w:val="auto"/>
          <w:sz w:val="52"/>
          <w:szCs w:val="52"/>
          <w:u w:val="none"/>
          <w:lang w:val="en-US" w:eastAsia="zh-CN"/>
        </w:rPr>
        <w:t>（编号12号）自卸汽车、洒水车机械租赁供应商</w:t>
      </w:r>
      <w:r>
        <w:rPr>
          <w:rFonts w:hint="eastAsia" w:ascii="宋体" w:hAnsi="宋体" w:eastAsia="宋体"/>
          <w:b/>
          <w:color w:val="auto"/>
          <w:sz w:val="52"/>
          <w:szCs w:val="52"/>
          <w:u w:val="none"/>
          <w:lang w:eastAsia="zh-CN"/>
        </w:rPr>
        <w:t>竞价文件</w:t>
      </w:r>
    </w:p>
    <w:p w14:paraId="0B200020">
      <w:pPr>
        <w:framePr w:wrap="auto" w:vAnchor="margin" w:hAnchor="text" w:yAlign="inline"/>
        <w:outlineLvl w:val="9"/>
        <w:rPr>
          <w:color w:val="auto"/>
          <w:lang w:eastAsia="zh-CN"/>
        </w:rPr>
      </w:pPr>
    </w:p>
    <w:p w14:paraId="00A3DB23">
      <w:pPr>
        <w:framePr w:wrap="auto" w:vAnchor="margin" w:hAnchor="text" w:yAlign="inline"/>
        <w:outlineLvl w:val="9"/>
        <w:rPr>
          <w:color w:val="auto"/>
          <w:lang w:eastAsia="zh-CN"/>
        </w:rPr>
      </w:pPr>
    </w:p>
    <w:p w14:paraId="3292D5FA">
      <w:pPr>
        <w:framePr w:wrap="auto" w:vAnchor="margin" w:hAnchor="text" w:yAlign="inline"/>
        <w:outlineLvl w:val="9"/>
        <w:rPr>
          <w:color w:val="auto"/>
          <w:lang w:eastAsia="zh-CN"/>
        </w:rPr>
      </w:pPr>
    </w:p>
    <w:p w14:paraId="1891EC7E">
      <w:pPr>
        <w:framePr w:wrap="auto" w:vAnchor="margin" w:hAnchor="text" w:yAlign="inline"/>
        <w:outlineLvl w:val="9"/>
        <w:rPr>
          <w:color w:val="auto"/>
          <w:lang w:eastAsia="zh-CN"/>
        </w:rPr>
      </w:pPr>
    </w:p>
    <w:p w14:paraId="13A2FCDF">
      <w:pPr>
        <w:framePr w:wrap="auto" w:vAnchor="margin" w:hAnchor="text" w:yAlign="inline"/>
        <w:widowControl w:val="0"/>
        <w:wordWrap w:val="0"/>
        <w:spacing w:line="360" w:lineRule="auto"/>
        <w:ind w:firstLine="640" w:firstLineChars="200"/>
        <w:jc w:val="both"/>
        <w:rPr>
          <w:rFonts w:ascii="宋体" w:hAnsi="宋体" w:eastAsia="宋体"/>
          <w:color w:val="auto"/>
          <w:sz w:val="32"/>
          <w:szCs w:val="32"/>
          <w:lang w:eastAsia="zh-CN"/>
        </w:rPr>
      </w:pPr>
    </w:p>
    <w:p w14:paraId="1D7F42F0">
      <w:pPr>
        <w:framePr w:wrap="auto" w:vAnchor="margin" w:hAnchor="text" w:yAlign="inline"/>
        <w:widowControl w:val="0"/>
        <w:wordWrap w:val="0"/>
        <w:spacing w:line="360" w:lineRule="auto"/>
        <w:ind w:firstLine="640" w:firstLineChars="200"/>
        <w:jc w:val="both"/>
        <w:rPr>
          <w:rFonts w:ascii="宋体" w:hAnsi="宋体" w:eastAsia="宋体"/>
          <w:color w:val="auto"/>
          <w:sz w:val="32"/>
          <w:szCs w:val="32"/>
          <w:lang w:eastAsia="zh-CN"/>
        </w:rPr>
      </w:pPr>
    </w:p>
    <w:p w14:paraId="78180A0A">
      <w:pPr>
        <w:framePr w:wrap="auto" w:vAnchor="margin" w:hAnchor="text" w:yAlign="inline"/>
        <w:widowControl w:val="0"/>
        <w:wordWrap w:val="0"/>
        <w:spacing w:line="360" w:lineRule="auto"/>
        <w:ind w:firstLine="640" w:firstLineChars="200"/>
        <w:jc w:val="both"/>
        <w:rPr>
          <w:rFonts w:ascii="宋体" w:hAnsi="宋体" w:eastAsia="宋体"/>
          <w:color w:val="auto"/>
          <w:sz w:val="32"/>
          <w:szCs w:val="32"/>
          <w:lang w:eastAsia="zh-CN"/>
        </w:rPr>
      </w:pPr>
    </w:p>
    <w:p w14:paraId="30728075">
      <w:pPr>
        <w:framePr w:wrap="auto" w:vAnchor="margin" w:hAnchor="text" w:yAlign="inline"/>
        <w:widowControl w:val="0"/>
        <w:wordWrap w:val="0"/>
        <w:spacing w:line="360" w:lineRule="auto"/>
        <w:ind w:firstLine="640" w:firstLineChars="200"/>
        <w:jc w:val="both"/>
        <w:rPr>
          <w:rFonts w:ascii="宋体" w:hAnsi="宋体" w:eastAsia="宋体"/>
          <w:color w:val="auto"/>
          <w:sz w:val="32"/>
          <w:szCs w:val="32"/>
          <w:lang w:eastAsia="zh-CN"/>
        </w:rPr>
      </w:pPr>
    </w:p>
    <w:p w14:paraId="142365B2">
      <w:pPr>
        <w:framePr w:wrap="auto" w:vAnchor="margin" w:hAnchor="text" w:yAlign="inline"/>
        <w:widowControl w:val="0"/>
        <w:wordWrap w:val="0"/>
        <w:spacing w:line="360" w:lineRule="auto"/>
        <w:jc w:val="center"/>
        <w:rPr>
          <w:rFonts w:hint="eastAsia" w:ascii="宋体" w:hAnsi="宋体" w:eastAsia="宋体" w:cs="Times New Roman"/>
          <w:b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lang w:val="en-US" w:eastAsia="zh-CN"/>
        </w:rPr>
        <w:t>广东路通达建设工程有限公司</w:t>
      </w:r>
    </w:p>
    <w:p w14:paraId="14AA9628">
      <w:pPr>
        <w:framePr w:wrap="auto" w:vAnchor="margin" w:hAnchor="text" w:yAlign="inline"/>
        <w:widowControl w:val="0"/>
        <w:wordWrap w:val="0"/>
        <w:spacing w:line="360" w:lineRule="auto"/>
        <w:jc w:val="center"/>
        <w:rPr>
          <w:rFonts w:hint="eastAsia" w:ascii="宋体" w:hAnsi="宋体" w:eastAsia="宋体"/>
          <w:b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color w:val="auto"/>
          <w:sz w:val="32"/>
          <w:szCs w:val="32"/>
          <w:lang w:eastAsia="zh-CN"/>
        </w:rPr>
        <w:t>惠州市天逸咨询有限公司</w:t>
      </w:r>
    </w:p>
    <w:p w14:paraId="61101DF2">
      <w:pPr>
        <w:framePr w:wrap="auto" w:vAnchor="margin" w:hAnchor="text" w:yAlign="inline"/>
        <w:widowControl w:val="0"/>
        <w:wordWrap w:val="0"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lang w:eastAsia="zh-CN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lang w:eastAsia="zh-CN"/>
        </w:rPr>
        <w:t>2023年8月21日</w:t>
      </w:r>
    </w:p>
    <w:p w14:paraId="0E161E5F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ascii="宋体" w:hAnsi="宋体" w:eastAsia="宋体" w:cs="宋体"/>
          <w:b/>
          <w:bCs/>
          <w:color w:val="auto"/>
          <w:sz w:val="44"/>
          <w:szCs w:val="44"/>
          <w:lang w:val="zh-TW" w:eastAsia="zh-TW"/>
        </w:rPr>
      </w:pPr>
    </w:p>
    <w:p w14:paraId="11F636A4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ascii="宋体" w:hAnsi="宋体" w:eastAsia="宋体" w:cs="宋体"/>
          <w:b/>
          <w:bCs/>
          <w:color w:val="auto"/>
          <w:sz w:val="44"/>
          <w:szCs w:val="44"/>
          <w:lang w:val="zh-TW" w:eastAsia="zh-TW"/>
        </w:rPr>
      </w:pPr>
    </w:p>
    <w:p w14:paraId="33617643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ascii="宋体" w:hAnsi="宋体" w:eastAsia="宋体" w:cs="宋体"/>
          <w:b/>
          <w:bCs/>
          <w:color w:val="auto"/>
          <w:sz w:val="44"/>
          <w:szCs w:val="44"/>
          <w:lang w:val="zh-TW" w:eastAsia="zh-TW"/>
        </w:rPr>
        <w:sectPr>
          <w:headerReference r:id="rId3" w:type="default"/>
          <w:footerReference r:id="rId4" w:type="default"/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0" w:num="1"/>
          <w:rtlGutter w:val="0"/>
          <w:docGrid w:linePitch="0" w:charSpace="0"/>
        </w:sectPr>
      </w:pPr>
    </w:p>
    <w:p w14:paraId="305273CC">
      <w:pPr>
        <w:framePr w:wrap="auto" w:vAnchor="margin" w:hAnchor="text" w:yAlign="inline"/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zh-TW" w:eastAsia="zh-TW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zh-TW" w:eastAsia="zh-TW"/>
        </w:rPr>
        <w:t>目    录</w:t>
      </w:r>
    </w:p>
    <w:p w14:paraId="6A28B6DF">
      <w:pPr>
        <w:framePr w:wrap="auto" w:vAnchor="margin" w:hAnchor="text" w:yAlign="inline"/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zh-TW" w:eastAsia="zh-TW"/>
        </w:rPr>
      </w:pPr>
    </w:p>
    <w:p w14:paraId="466124E7">
      <w:pPr>
        <w:pStyle w:val="25"/>
        <w:framePr w:wrap="auto" w:vAnchor="margin" w:hAnchor="text" w:yAlign="inline"/>
        <w:wordWrap w:val="0"/>
        <w:spacing w:line="440" w:lineRule="exact"/>
        <w:ind w:firstLine="560"/>
        <w:rPr>
          <w:rFonts w:hint="eastAsia" w:ascii="宋体" w:hAnsi="宋体" w:eastAsia="宋体" w:cs="宋体"/>
          <w:color w:val="auto"/>
          <w:sz w:val="28"/>
          <w:szCs w:val="28"/>
        </w:rPr>
      </w:pPr>
    </w:p>
    <w:p w14:paraId="285F659C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  <w:lang w:val="zh-TW" w:eastAsia="zh-TW"/>
        </w:rPr>
        <w:t xml:space="preserve">第一部分 </w:t>
      </w:r>
      <w:r>
        <w:rPr>
          <w:rFonts w:ascii="宋体" w:hAnsi="宋体" w:eastAsia="宋体" w:cs="宋体"/>
          <w:color w:val="auto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竞价</w:t>
      </w:r>
      <w:r>
        <w:rPr>
          <w:rFonts w:ascii="宋体" w:hAnsi="宋体" w:eastAsia="宋体" w:cs="宋体"/>
          <w:color w:val="auto"/>
          <w:sz w:val="28"/>
          <w:szCs w:val="28"/>
        </w:rPr>
        <w:t>公告</w:t>
      </w:r>
    </w:p>
    <w:p w14:paraId="1CDE1A66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color w:val="auto"/>
          <w:sz w:val="28"/>
          <w:szCs w:val="28"/>
          <w:lang w:val="zh-TW" w:eastAsia="zh-TW"/>
        </w:rPr>
      </w:pPr>
      <w:r>
        <w:rPr>
          <w:rFonts w:ascii="宋体" w:hAnsi="宋体" w:eastAsia="宋体" w:cs="宋体"/>
          <w:color w:val="auto"/>
          <w:sz w:val="28"/>
          <w:szCs w:val="28"/>
          <w:lang w:val="zh-TW" w:eastAsia="zh-TW"/>
        </w:rPr>
        <w:t>第</w:t>
      </w:r>
      <w:r>
        <w:rPr>
          <w:rFonts w:ascii="宋体" w:hAnsi="宋体" w:eastAsia="宋体" w:cs="宋体"/>
          <w:color w:val="auto"/>
          <w:sz w:val="28"/>
          <w:szCs w:val="28"/>
        </w:rPr>
        <w:t>二</w:t>
      </w:r>
      <w:r>
        <w:rPr>
          <w:rFonts w:ascii="宋体" w:hAnsi="宋体" w:eastAsia="宋体" w:cs="宋体"/>
          <w:color w:val="auto"/>
          <w:sz w:val="28"/>
          <w:szCs w:val="28"/>
          <w:lang w:val="zh-TW" w:eastAsia="zh-TW"/>
        </w:rPr>
        <w:t xml:space="preserve">部分  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参选</w:t>
      </w:r>
      <w:r>
        <w:rPr>
          <w:rFonts w:ascii="宋体" w:hAnsi="宋体" w:eastAsia="宋体" w:cs="宋体"/>
          <w:color w:val="auto"/>
          <w:sz w:val="28"/>
          <w:szCs w:val="28"/>
        </w:rPr>
        <w:t>人</w:t>
      </w:r>
      <w:r>
        <w:rPr>
          <w:rFonts w:ascii="宋体" w:hAnsi="宋体" w:eastAsia="宋体" w:cs="宋体"/>
          <w:color w:val="auto"/>
          <w:sz w:val="28"/>
          <w:szCs w:val="28"/>
          <w:lang w:val="zh-TW" w:eastAsia="zh-TW"/>
        </w:rPr>
        <w:t>须知</w:t>
      </w:r>
    </w:p>
    <w:p w14:paraId="3F29F1BB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第三部分  工程量清单</w:t>
      </w:r>
    </w:p>
    <w:p w14:paraId="2FD4F9F0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  <w:lang w:val="zh-TW" w:eastAsia="zh-TW"/>
        </w:rPr>
        <w:t>第</w:t>
      </w:r>
      <w:r>
        <w:rPr>
          <w:rFonts w:ascii="宋体" w:hAnsi="宋体" w:eastAsia="宋体" w:cs="宋体"/>
          <w:color w:val="auto"/>
          <w:sz w:val="28"/>
          <w:szCs w:val="28"/>
        </w:rPr>
        <w:t>四</w:t>
      </w:r>
      <w:r>
        <w:rPr>
          <w:rFonts w:ascii="宋体" w:hAnsi="宋体" w:eastAsia="宋体" w:cs="宋体"/>
          <w:color w:val="auto"/>
          <w:sz w:val="28"/>
          <w:szCs w:val="28"/>
          <w:lang w:val="zh-TW" w:eastAsia="zh-TW"/>
        </w:rPr>
        <w:t xml:space="preserve">部分  </w:t>
      </w:r>
      <w:r>
        <w:rPr>
          <w:rFonts w:ascii="宋体" w:hAnsi="宋体" w:eastAsia="宋体" w:cs="宋体"/>
          <w:color w:val="auto"/>
          <w:sz w:val="28"/>
          <w:szCs w:val="28"/>
        </w:rPr>
        <w:t>评选方法</w:t>
      </w:r>
    </w:p>
    <w:p w14:paraId="54986AFE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第五部分  合同主要条款</w:t>
      </w:r>
    </w:p>
    <w:p w14:paraId="00EC0E6E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2A74BD53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432A8AFC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2047901D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53991464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5F6368C6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412E6EA3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7BD6B52D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</w:pPr>
      <w:r>
        <w:rPr>
          <w:rFonts w:ascii="宋体" w:hAnsi="宋体" w:eastAsia="宋体" w:cs="宋体"/>
          <w:b/>
          <w:bCs/>
          <w:color w:val="auto"/>
          <w:sz w:val="32"/>
          <w:szCs w:val="32"/>
        </w:rPr>
        <w:br w:type="page"/>
      </w:r>
    </w:p>
    <w:p w14:paraId="4C24091C">
      <w:pPr>
        <w:pStyle w:val="25"/>
        <w:framePr w:wrap="auto" w:vAnchor="margin" w:hAnchor="text" w:yAlign="inline"/>
        <w:wordWrap w:val="0"/>
        <w:spacing w:line="440" w:lineRule="exact"/>
        <w:jc w:val="center"/>
        <w:outlineLvl w:val="0"/>
        <w:rPr>
          <w:rFonts w:hint="default" w:ascii="宋体" w:hAnsi="宋体" w:eastAsia="宋体" w:cs="宋体"/>
          <w:b/>
          <w:bCs/>
          <w:color w:val="auto"/>
          <w:sz w:val="32"/>
          <w:szCs w:val="32"/>
          <w:lang w:eastAsia="zh-TW"/>
        </w:rPr>
      </w:pPr>
      <w:r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  <w:t xml:space="preserve">第一部分 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竞价公告</w:t>
      </w:r>
    </w:p>
    <w:p w14:paraId="08AD2609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hint="default" w:ascii="宋体" w:hAnsi="宋体" w:eastAsia="宋体" w:cs="宋体"/>
          <w:b/>
          <w:bCs/>
          <w:color w:val="auto"/>
          <w:sz w:val="32"/>
          <w:szCs w:val="32"/>
        </w:rPr>
      </w:pPr>
    </w:p>
    <w:p w14:paraId="78D5C1F0">
      <w:pPr>
        <w:pStyle w:val="25"/>
        <w:framePr w:wrap="auto" w:vAnchor="margin" w:hAnchor="text" w:yAlign="inline"/>
        <w:tabs>
          <w:tab w:val="left" w:pos="1920"/>
        </w:tabs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val="en-US" w:eastAsia="zh-CN"/>
        </w:rPr>
        <w:t>惠州市天逸咨询有限公司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（以下简称‘采购代理机构’）受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val="en-US" w:eastAsia="zh-CN"/>
        </w:rPr>
        <w:t>广东路通达建设工程有限公司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（以下简称‘采购人’）的委托，诚邀国内合格参选人就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val="en-US" w:eastAsia="zh-CN"/>
        </w:rPr>
        <w:t>惠东产业转移工业园鹏泰一路及鹏顺路一期道路工程项目（编号12号）自卸汽车、洒水车机械租赁供应商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(以下称“项目”或“本项目”)提交竞价申请文件：</w:t>
      </w:r>
    </w:p>
    <w:p w14:paraId="287FA35D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一、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方式：</w:t>
      </w:r>
      <w:r>
        <w:rPr>
          <w:rFonts w:ascii="宋体" w:hAnsi="宋体" w:eastAsia="宋体" w:cs="宋体"/>
          <w:color w:val="auto"/>
          <w:sz w:val="28"/>
          <w:szCs w:val="28"/>
          <w:u w:val="single" w:color="auto"/>
        </w:rPr>
        <w:t>公开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eastAsia="zh-CN"/>
        </w:rPr>
        <w:t>竞价</w:t>
      </w:r>
    </w:p>
    <w:p w14:paraId="51F157AC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二、项目概况与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内容</w:t>
      </w:r>
    </w:p>
    <w:p w14:paraId="2EAB37AC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1、项目概况：</w:t>
      </w:r>
    </w:p>
    <w:p w14:paraId="0FF56251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本项目位于惠东产业转移工业园东北侧，设计道路包括鹏泰一路及鹏顺路一期，均为城市次干路，双向4车道，设计速度40km/h；鹏泰一路呈东西走向，西起现状平梁路，东至现状鹏达路，道路全长约1.193km，道路红线宽36m；鹏顺路一期呈南北走向，南起现状环城北路，北接鹏泰一路，道路全长约0.279km，道路红线宽32m。以上2条道路总长约1.47km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 w14:paraId="1D14758A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2、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内容：</w:t>
      </w:r>
    </w:p>
    <w:p w14:paraId="50731544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  <w:u w:val="single" w:color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eastAsia="zh-CN"/>
        </w:rPr>
        <w:t>承包人现场施工所需的自卸汽车、洒水车机械租赁。</w:t>
      </w:r>
    </w:p>
    <w:p w14:paraId="0E7DBDA5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参选人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资格要求</w:t>
      </w:r>
    </w:p>
    <w:p w14:paraId="339B2066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在中华人民共和国境内注册的法人或其他组织，参选时提交有效的营业执照（或事业法人登记证等相关证明）复印件。分支机构投标的，须提供总公司和分公司营业执照复印件，总公司出具给分支机构的授权书</w:t>
      </w:r>
      <w:r>
        <w:rPr>
          <w:rFonts w:ascii="宋体" w:hAnsi="宋体" w:eastAsia="宋体" w:cs="宋体"/>
          <w:color w:val="auto"/>
          <w:sz w:val="28"/>
          <w:szCs w:val="28"/>
        </w:rPr>
        <w:t>。</w:t>
      </w:r>
    </w:p>
    <w:p w14:paraId="276EC570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2、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与采购人存在利害关系可能影响采购公正性的法人、其他组织或者个人，不得参加本项目响应；单位负责人为同一人或者存在控股（含法定代表人控股）、管理关系的不同单位，不得参加同一项目响应，否则均按否决响应处理。</w:t>
      </w:r>
    </w:p>
    <w:p w14:paraId="58418D23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  <w:u w:val="single" w:color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3、</w:t>
      </w:r>
      <w:r>
        <w:rPr>
          <w:rFonts w:ascii="宋体" w:hAnsi="宋体" w:eastAsia="宋体" w:cs="宋体"/>
          <w:color w:val="auto"/>
          <w:sz w:val="28"/>
          <w:szCs w:val="28"/>
          <w:u w:val="none" w:color="auto"/>
        </w:rPr>
        <w:t>本次</w:t>
      </w:r>
      <w:r>
        <w:rPr>
          <w:rFonts w:hint="eastAsia" w:ascii="宋体" w:hAnsi="宋体" w:eastAsia="宋体" w:cs="宋体"/>
          <w:color w:val="auto"/>
          <w:sz w:val="28"/>
          <w:szCs w:val="28"/>
          <w:u w:val="none" w:color="auto"/>
          <w:lang w:eastAsia="zh-CN"/>
        </w:rPr>
        <w:t>采购</w:t>
      </w:r>
      <w:r>
        <w:rPr>
          <w:rFonts w:ascii="宋体" w:hAnsi="宋体" w:eastAsia="宋体" w:cs="宋体"/>
          <w:color w:val="auto"/>
          <w:sz w:val="28"/>
          <w:szCs w:val="28"/>
          <w:u w:val="single" w:color="auto"/>
        </w:rPr>
        <w:t>不接受</w:t>
      </w:r>
      <w:r>
        <w:rPr>
          <w:rFonts w:ascii="宋体" w:hAnsi="宋体" w:eastAsia="宋体" w:cs="宋体"/>
          <w:color w:val="auto"/>
          <w:sz w:val="28"/>
          <w:szCs w:val="28"/>
          <w:u w:val="none" w:color="auto"/>
        </w:rPr>
        <w:t>联合体响应。</w:t>
      </w:r>
    </w:p>
    <w:p w14:paraId="3EC4DAE3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四、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竞价文件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的获取</w:t>
      </w:r>
    </w:p>
    <w:p w14:paraId="3A234239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1、本项目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竞价文件</w:t>
      </w:r>
      <w:r>
        <w:rPr>
          <w:rFonts w:ascii="宋体" w:hAnsi="宋体" w:eastAsia="宋体" w:cs="宋体"/>
          <w:color w:val="auto"/>
          <w:sz w:val="28"/>
          <w:szCs w:val="28"/>
        </w:rPr>
        <w:t>、补遗书（补充、澄清、修改文件）以网上下载方式发放。如需图纸请自行联系本项目联系人获取。</w:t>
      </w:r>
    </w:p>
    <w:p w14:paraId="038AED26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2、澄清、补充、修改等更正补充公告请自行登录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广东路通达建设工程有限</w:t>
      </w:r>
      <w:r>
        <w:rPr>
          <w:rFonts w:ascii="宋体" w:hAnsi="宋体" w:eastAsia="宋体" w:cs="宋体"/>
          <w:color w:val="auto"/>
          <w:sz w:val="28"/>
          <w:szCs w:val="28"/>
        </w:rPr>
        <w:t>公司门户网站进行下载，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color w:val="auto"/>
          <w:sz w:val="28"/>
          <w:szCs w:val="28"/>
        </w:rPr>
        <w:t>人不再另行通知。</w:t>
      </w:r>
    </w:p>
    <w:p w14:paraId="25A89AF0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五、响应文件的递交</w:t>
      </w:r>
    </w:p>
    <w:p w14:paraId="4F305D1E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color w:val="auto"/>
          <w:sz w:val="28"/>
          <w:szCs w:val="28"/>
        </w:rPr>
        <w:t>人不统一组织工程现场踏勘和响应预备会,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参选人</w:t>
      </w:r>
      <w:r>
        <w:rPr>
          <w:rFonts w:ascii="宋体" w:hAnsi="宋体" w:eastAsia="宋体" w:cs="宋体"/>
          <w:color w:val="auto"/>
          <w:sz w:val="28"/>
          <w:szCs w:val="28"/>
        </w:rPr>
        <w:t>视需要自行前往现场踏勘。</w:t>
      </w:r>
    </w:p>
    <w:p w14:paraId="3003EE4E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2、响应文件递交的截止</w:t>
      </w:r>
      <w:r>
        <w:rPr>
          <w:rFonts w:ascii="宋体" w:hAnsi="宋体" w:eastAsia="宋体" w:cs="宋体"/>
          <w:color w:val="auto"/>
          <w:sz w:val="28"/>
          <w:szCs w:val="28"/>
          <w:u w:val="none" w:color="auto"/>
        </w:rPr>
        <w:t>时间</w:t>
      </w:r>
      <w:r>
        <w:rPr>
          <w:rFonts w:hint="eastAsia" w:ascii="宋体" w:hAnsi="宋体" w:eastAsia="宋体" w:cs="宋体"/>
          <w:color w:val="auto"/>
          <w:sz w:val="28"/>
          <w:szCs w:val="28"/>
          <w:u w:val="none" w:color="auto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eastAsia="zh-CN"/>
        </w:rPr>
        <w:t>2023年8月25日12:00</w:t>
      </w:r>
      <w:r>
        <w:rPr>
          <w:rFonts w:ascii="宋体" w:hAnsi="宋体" w:eastAsia="宋体" w:cs="宋体"/>
          <w:color w:val="auto"/>
          <w:sz w:val="28"/>
          <w:szCs w:val="28"/>
          <w:u w:val="none" w:color="auto"/>
        </w:rPr>
        <w:t>。</w:t>
      </w:r>
    </w:p>
    <w:p w14:paraId="075143C5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3、响应文件递交方式：纸质响应文件采用现场递交或邮寄方式，递交（邮寄）地址：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en-US" w:eastAsia="zh-CN"/>
        </w:rPr>
        <w:t>惠州市惠东县惠东大道1212号4楼</w:t>
      </w:r>
      <w:r>
        <w:rPr>
          <w:rFonts w:ascii="宋体" w:hAnsi="宋体" w:eastAsia="宋体" w:cs="宋体"/>
          <w:color w:val="auto"/>
          <w:sz w:val="28"/>
          <w:szCs w:val="28"/>
        </w:rPr>
        <w:t>。</w:t>
      </w:r>
    </w:p>
    <w:p w14:paraId="5A7DF6F3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hint="default" w:ascii="宋体" w:hAnsi="宋体" w:eastAsia="宋体" w:cs="宋体"/>
          <w:color w:val="auto"/>
          <w:sz w:val="28"/>
          <w:szCs w:val="28"/>
        </w:rPr>
        <w:t>4</w:t>
      </w:r>
      <w:r>
        <w:rPr>
          <w:rFonts w:ascii="宋体" w:hAnsi="宋体" w:eastAsia="宋体" w:cs="宋体"/>
          <w:color w:val="auto"/>
          <w:sz w:val="28"/>
          <w:szCs w:val="28"/>
        </w:rPr>
        <w:t>、逾期送达或未密封将予以拒收。</w:t>
      </w:r>
    </w:p>
    <w:p w14:paraId="3DEE8E00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六、发布公告的媒介</w:t>
      </w:r>
    </w:p>
    <w:p w14:paraId="29162FB1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本次竞价公告</w:t>
      </w:r>
      <w:r>
        <w:rPr>
          <w:rFonts w:hint="eastAsia" w:ascii="宋体" w:hAnsi="宋体" w:eastAsia="宋体" w:cs="宋体"/>
          <w:color w:val="auto"/>
          <w:sz w:val="28"/>
          <w:szCs w:val="28"/>
          <w:u w:val="none" w:color="auto"/>
          <w:lang w:eastAsia="zh-CN"/>
        </w:rPr>
        <w:t>在广东路通达建设工程有限公司官网（http://www.gdltdjs.com）上发布。</w:t>
      </w:r>
    </w:p>
    <w:p w14:paraId="31DF2772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七、联系方式：</w:t>
      </w:r>
    </w:p>
    <w:p w14:paraId="200B61E1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1.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采购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人信息</w:t>
      </w:r>
    </w:p>
    <w:p w14:paraId="2672A157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名称：广东路通达建设工程有限公司</w:t>
      </w:r>
    </w:p>
    <w:p w14:paraId="075A6CDA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地址：惠州市惠东县惠东大道1212号4楼</w:t>
      </w:r>
    </w:p>
    <w:p w14:paraId="3DD160C3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 xml:space="preserve">联系方式：0752-8115336 </w:t>
      </w:r>
    </w:p>
    <w:p w14:paraId="47384A6E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2.采购代理机构信息</w:t>
      </w:r>
    </w:p>
    <w:p w14:paraId="7B96B2BB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名称：惠州市天逸咨询有限公司</w:t>
      </w:r>
    </w:p>
    <w:p w14:paraId="0F3D7DD8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地址：惠州市惠城区中海水岸城1期7-10商铺</w:t>
      </w:r>
    </w:p>
    <w:p w14:paraId="20C413A6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联系方式：0752-3798001</w:t>
      </w:r>
    </w:p>
    <w:p w14:paraId="71C3C59F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</w:p>
    <w:p w14:paraId="0E02BD56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righ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采购人：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广东路通达建设工程有限公司</w:t>
      </w:r>
    </w:p>
    <w:p w14:paraId="071F225B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righ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采购代理机构：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惠州市天逸咨询有限公司</w:t>
      </w:r>
    </w:p>
    <w:p w14:paraId="5796F0B4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righ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公告发布时间：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2023年8月21日</w:t>
      </w:r>
    </w:p>
    <w:p w14:paraId="24985691">
      <w:pPr>
        <w:pStyle w:val="15"/>
        <w:keepNext w:val="0"/>
        <w:keepLines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0" w:lineRule="atLeast"/>
        <w:ind w:left="0" w:right="0" w:firstLine="555"/>
        <w:jc w:val="left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sectPr>
          <w:footerReference r:id="rId5" w:type="default"/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2"/>
          <w:cols w:space="0" w:num="1"/>
          <w:rtlGutter w:val="0"/>
          <w:docGrid w:linePitch="0" w:charSpace="0"/>
        </w:sectPr>
      </w:pPr>
    </w:p>
    <w:p w14:paraId="0766CBAF">
      <w:pPr>
        <w:keepLines/>
        <w:framePr w:wrap="auto" w:vAnchor="margin" w:hAnchor="text" w:yAlign="inline"/>
        <w:wordWrap w:val="0"/>
        <w:snapToGrid w:val="0"/>
        <w:jc w:val="center"/>
        <w:outlineLvl w:val="0"/>
        <w:rPr>
          <w:rFonts w:ascii="宋体" w:hAnsi="宋体" w:eastAsia="宋体" w:cs="宋体"/>
          <w:b/>
          <w:color w:val="auto"/>
          <w:sz w:val="28"/>
          <w:szCs w:val="28"/>
          <w:lang w:eastAsia="zh-CN"/>
        </w:rPr>
      </w:pPr>
      <w:bookmarkStart w:id="0" w:name="_Toc16761"/>
      <w:bookmarkStart w:id="1" w:name="_Toc152045528"/>
      <w:bookmarkStart w:id="2" w:name="_Toc144974496"/>
      <w:bookmarkStart w:id="3" w:name="_Toc31806"/>
      <w:bookmarkStart w:id="4" w:name="_Toc152042304"/>
      <w:bookmarkStart w:id="5" w:name="_Toc392345907"/>
      <w:bookmarkStart w:id="6" w:name="_Toc7164"/>
      <w:bookmarkStart w:id="7" w:name="_Toc229646710"/>
      <w:bookmarkStart w:id="8" w:name="_Toc500491903"/>
      <w:bookmarkStart w:id="9" w:name="_Toc16780"/>
      <w:bookmarkStart w:id="10" w:name="_Toc21380"/>
      <w:r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  <w:t>第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二</w:t>
      </w:r>
      <w:r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  <w:t xml:space="preserve">部分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参选人须知</w:t>
      </w:r>
    </w:p>
    <w:tbl>
      <w:tblPr>
        <w:tblStyle w:val="17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1658"/>
        <w:gridCol w:w="6126"/>
      </w:tblGrid>
      <w:tr w14:paraId="0F8E2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38" w:type="dxa"/>
            <w:vAlign w:val="center"/>
          </w:tcPr>
          <w:p w14:paraId="6F70147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</w:rPr>
              <w:t>序号</w:t>
            </w:r>
          </w:p>
        </w:tc>
        <w:tc>
          <w:tcPr>
            <w:tcW w:w="1658" w:type="dxa"/>
            <w:vAlign w:val="center"/>
          </w:tcPr>
          <w:p w14:paraId="7D9EA24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</w:rPr>
              <w:t>条款名称</w:t>
            </w:r>
          </w:p>
        </w:tc>
        <w:tc>
          <w:tcPr>
            <w:tcW w:w="6126" w:type="dxa"/>
            <w:vAlign w:val="center"/>
          </w:tcPr>
          <w:p w14:paraId="6DC875B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</w:rPr>
              <w:t>编列内容</w:t>
            </w:r>
          </w:p>
        </w:tc>
      </w:tr>
      <w:tr w14:paraId="7D814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738" w:type="dxa"/>
            <w:vAlign w:val="center"/>
          </w:tcPr>
          <w:p w14:paraId="0E5A614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1</w:t>
            </w:r>
          </w:p>
        </w:tc>
        <w:tc>
          <w:tcPr>
            <w:tcW w:w="1658" w:type="dxa"/>
            <w:vAlign w:val="center"/>
          </w:tcPr>
          <w:p w14:paraId="4DD59C26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人</w:t>
            </w:r>
          </w:p>
        </w:tc>
        <w:tc>
          <w:tcPr>
            <w:tcW w:w="6126" w:type="dxa"/>
            <w:vAlign w:val="center"/>
          </w:tcPr>
          <w:p w14:paraId="37CF0CB3">
            <w:pPr>
              <w:framePr w:wrap="auto" w:vAnchor="margin" w:hAnchor="text" w:yAlign="inline"/>
              <w:wordWrap w:val="0"/>
              <w:adjustRightInd w:val="0"/>
              <w:snapToGrid w:val="0"/>
              <w:jc w:val="both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采购人：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广东路通达建设工程有限公司</w:t>
            </w:r>
          </w:p>
          <w:p w14:paraId="412DD485">
            <w:pPr>
              <w:framePr w:wrap="auto" w:vAnchor="margin" w:hAnchor="text" w:yAlign="inline"/>
              <w:wordWrap w:val="0"/>
              <w:adjustRightInd w:val="0"/>
              <w:snapToGrid w:val="0"/>
              <w:jc w:val="both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地址：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惠州市惠东县惠东大道1212号4楼</w:t>
            </w:r>
          </w:p>
          <w:p w14:paraId="7EC77F97">
            <w:pPr>
              <w:framePr w:wrap="auto" w:vAnchor="margin" w:hAnchor="text" w:yAlign="inline"/>
              <w:wordWrap w:val="0"/>
              <w:adjustRightInd w:val="0"/>
              <w:snapToGrid w:val="0"/>
              <w:jc w:val="both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电话：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0752-8115336</w:t>
            </w:r>
          </w:p>
        </w:tc>
      </w:tr>
      <w:tr w14:paraId="515F0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exact"/>
          <w:jc w:val="center"/>
        </w:trPr>
        <w:tc>
          <w:tcPr>
            <w:tcW w:w="738" w:type="dxa"/>
            <w:vAlign w:val="center"/>
          </w:tcPr>
          <w:p w14:paraId="4421291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</w:p>
        </w:tc>
        <w:tc>
          <w:tcPr>
            <w:tcW w:w="1658" w:type="dxa"/>
            <w:vAlign w:val="center"/>
          </w:tcPr>
          <w:p w14:paraId="543F4EBC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项目名称</w:t>
            </w:r>
          </w:p>
        </w:tc>
        <w:tc>
          <w:tcPr>
            <w:tcW w:w="6126" w:type="dxa"/>
            <w:vAlign w:val="center"/>
          </w:tcPr>
          <w:p w14:paraId="4FEBAEFB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default" w:ascii="宋体" w:hAnsi="宋体" w:eastAsia="宋体" w:cs="宋体"/>
                <w:color w:val="auto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u w:val="single"/>
                <w:shd w:val="clear" w:fill="FFFFFF"/>
                <w:lang w:val="en-US" w:eastAsia="zh-CN" w:bidi="ar"/>
              </w:rPr>
              <w:t>惠东产业转移工业园鹏泰一路及鹏顺路一期道路工程项目（编号12号）自卸汽车、洒水车机械租赁供应商</w:t>
            </w:r>
          </w:p>
        </w:tc>
      </w:tr>
      <w:tr w14:paraId="27109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exact"/>
          <w:jc w:val="center"/>
        </w:trPr>
        <w:tc>
          <w:tcPr>
            <w:tcW w:w="738" w:type="dxa"/>
            <w:vAlign w:val="center"/>
          </w:tcPr>
          <w:p w14:paraId="75D106F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3</w:t>
            </w:r>
          </w:p>
        </w:tc>
        <w:tc>
          <w:tcPr>
            <w:tcW w:w="1658" w:type="dxa"/>
            <w:vAlign w:val="center"/>
          </w:tcPr>
          <w:p w14:paraId="6E9F085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内容</w:t>
            </w:r>
          </w:p>
        </w:tc>
        <w:tc>
          <w:tcPr>
            <w:tcW w:w="6126" w:type="dxa"/>
            <w:vAlign w:val="center"/>
          </w:tcPr>
          <w:p w14:paraId="764A6639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default" w:ascii="宋体" w:hAnsi="宋体" w:eastAsia="宋体" w:cs="宋体"/>
                <w:color w:val="auto"/>
                <w:sz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承包人现场施工所需的自卸汽车、洒水车机械租赁</w:t>
            </w:r>
          </w:p>
        </w:tc>
      </w:tr>
      <w:tr w14:paraId="406D2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38" w:type="dxa"/>
            <w:vAlign w:val="center"/>
          </w:tcPr>
          <w:p w14:paraId="05DE7F8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4</w:t>
            </w:r>
          </w:p>
        </w:tc>
        <w:tc>
          <w:tcPr>
            <w:tcW w:w="1658" w:type="dxa"/>
            <w:vAlign w:val="center"/>
          </w:tcPr>
          <w:p w14:paraId="0872301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工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期</w:t>
            </w:r>
          </w:p>
        </w:tc>
        <w:tc>
          <w:tcPr>
            <w:tcW w:w="6126" w:type="dxa"/>
            <w:vAlign w:val="center"/>
          </w:tcPr>
          <w:p w14:paraId="13394A4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>2023年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>月-工程结束</w:t>
            </w:r>
          </w:p>
        </w:tc>
      </w:tr>
      <w:tr w14:paraId="2BF80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  <w:jc w:val="center"/>
        </w:trPr>
        <w:tc>
          <w:tcPr>
            <w:tcW w:w="738" w:type="dxa"/>
            <w:vAlign w:val="center"/>
          </w:tcPr>
          <w:p w14:paraId="55139E7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5</w:t>
            </w:r>
          </w:p>
        </w:tc>
        <w:tc>
          <w:tcPr>
            <w:tcW w:w="1658" w:type="dxa"/>
            <w:vAlign w:val="center"/>
          </w:tcPr>
          <w:p w14:paraId="64C13B1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质量要求</w:t>
            </w:r>
          </w:p>
        </w:tc>
        <w:tc>
          <w:tcPr>
            <w:tcW w:w="6126" w:type="dxa"/>
            <w:vAlign w:val="center"/>
          </w:tcPr>
          <w:p w14:paraId="38C61DFE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none"/>
                <w:lang w:eastAsia="zh-CN"/>
              </w:rPr>
              <w:t xml:space="preserve"> 合格 </w:t>
            </w:r>
          </w:p>
        </w:tc>
      </w:tr>
      <w:tr w14:paraId="0A4AB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 w:hRule="atLeast"/>
          <w:jc w:val="center"/>
        </w:trPr>
        <w:tc>
          <w:tcPr>
            <w:tcW w:w="738" w:type="dxa"/>
            <w:vAlign w:val="center"/>
          </w:tcPr>
          <w:p w14:paraId="24DCD65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6</w:t>
            </w:r>
          </w:p>
        </w:tc>
        <w:tc>
          <w:tcPr>
            <w:tcW w:w="1658" w:type="dxa"/>
            <w:vAlign w:val="center"/>
          </w:tcPr>
          <w:p w14:paraId="3A967E0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参选人</w:t>
            </w:r>
          </w:p>
          <w:p w14:paraId="76D6184C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资格条件</w:t>
            </w:r>
          </w:p>
        </w:tc>
        <w:tc>
          <w:tcPr>
            <w:tcW w:w="6126" w:type="dxa"/>
            <w:vAlign w:val="center"/>
          </w:tcPr>
          <w:p w14:paraId="36C9BF4E">
            <w:pPr>
              <w:framePr w:wrap="auto" w:vAnchor="margin" w:hAnchor="text" w:yAlign="inline"/>
              <w:wordWrap w:val="0"/>
              <w:adjustRightInd w:val="0"/>
              <w:snapToGrid w:val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在中华人民共和国境内注册的法人或其他组织，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参选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时提交有效的营业执照（或事业法人登记证等相关证明）复印件。分支机构投标的，须提供总公司和分公司营业执照复印件，总公司出具给分支机构的授权书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。</w:t>
            </w:r>
          </w:p>
          <w:p w14:paraId="38FB971B">
            <w:pPr>
              <w:framePr w:wrap="auto" w:vAnchor="margin" w:hAnchor="text" w:yAlign="inline"/>
              <w:wordWrap w:val="0"/>
              <w:adjustRightInd w:val="0"/>
              <w:snapToGrid w:val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与采购人存在利害关系可能影响采购公正性的法人、其他组织或者个人，不得参加本项目响应；单位负责人为同一人或者存在控股（含法定代表人控股）、管理关系的不同单位，不得参加同一项目响应，否则均按否决响应处理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。</w:t>
            </w:r>
          </w:p>
          <w:p w14:paraId="7A8A8C8F">
            <w:pPr>
              <w:framePr w:wrap="auto" w:vAnchor="margin" w:hAnchor="text" w:yAlign="inline"/>
              <w:wordWrap w:val="0"/>
              <w:adjustRightInd w:val="0"/>
              <w:snapToGrid w:val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本次采购不接受联合体响应</w:t>
            </w:r>
          </w:p>
        </w:tc>
      </w:tr>
      <w:tr w14:paraId="3D34C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exact"/>
          <w:jc w:val="center"/>
        </w:trPr>
        <w:tc>
          <w:tcPr>
            <w:tcW w:w="738" w:type="dxa"/>
            <w:vAlign w:val="center"/>
          </w:tcPr>
          <w:p w14:paraId="0A422BF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7</w:t>
            </w:r>
          </w:p>
        </w:tc>
        <w:tc>
          <w:tcPr>
            <w:tcW w:w="1658" w:type="dxa"/>
            <w:vAlign w:val="center"/>
          </w:tcPr>
          <w:p w14:paraId="46C366C0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是否接受</w:t>
            </w:r>
          </w:p>
          <w:p w14:paraId="256E78F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联合体</w:t>
            </w:r>
          </w:p>
        </w:tc>
        <w:tc>
          <w:tcPr>
            <w:tcW w:w="6126" w:type="dxa"/>
            <w:vAlign w:val="center"/>
          </w:tcPr>
          <w:p w14:paraId="79CF3458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□接受，但联合体所有成员不得超过2家。</w:t>
            </w:r>
          </w:p>
          <w:p w14:paraId="380F61B7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☑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不接受</w:t>
            </w:r>
          </w:p>
        </w:tc>
      </w:tr>
      <w:tr w14:paraId="14537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3" w:hRule="atLeast"/>
          <w:jc w:val="center"/>
        </w:trPr>
        <w:tc>
          <w:tcPr>
            <w:tcW w:w="738" w:type="dxa"/>
            <w:vAlign w:val="center"/>
          </w:tcPr>
          <w:p w14:paraId="2B673C3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8</w:t>
            </w:r>
          </w:p>
        </w:tc>
        <w:tc>
          <w:tcPr>
            <w:tcW w:w="1658" w:type="dxa"/>
            <w:vAlign w:val="center"/>
          </w:tcPr>
          <w:p w14:paraId="7604F55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踏勘现场</w:t>
            </w:r>
          </w:p>
        </w:tc>
        <w:tc>
          <w:tcPr>
            <w:tcW w:w="6126" w:type="dxa"/>
            <w:vAlign w:val="center"/>
          </w:tcPr>
          <w:p w14:paraId="31AAC8B9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□组织</w:t>
            </w:r>
          </w:p>
          <w:p w14:paraId="16A300A9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☑不组织</w:t>
            </w:r>
          </w:p>
          <w:p w14:paraId="26733013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采购人不组织统一的现场踏勘。若为获取自己负责的有关编制响应文件的资料，响应人可自行安排踏勘，但现场踏勘的费用、交通、安全及其它相关问题，均由响应人自己承担和解决。</w:t>
            </w:r>
          </w:p>
        </w:tc>
      </w:tr>
      <w:tr w14:paraId="3F77D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9" w:hRule="atLeast"/>
          <w:jc w:val="center"/>
        </w:trPr>
        <w:tc>
          <w:tcPr>
            <w:tcW w:w="738" w:type="dxa"/>
            <w:vAlign w:val="center"/>
          </w:tcPr>
          <w:p w14:paraId="62A8D54C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9</w:t>
            </w:r>
          </w:p>
        </w:tc>
        <w:tc>
          <w:tcPr>
            <w:tcW w:w="1658" w:type="dxa"/>
            <w:vAlign w:val="center"/>
          </w:tcPr>
          <w:p w14:paraId="6634F60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偏离</w:t>
            </w:r>
          </w:p>
        </w:tc>
        <w:tc>
          <w:tcPr>
            <w:tcW w:w="6126" w:type="dxa"/>
            <w:vAlign w:val="center"/>
          </w:tcPr>
          <w:p w14:paraId="12E338EC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☑不允许</w:t>
            </w:r>
          </w:p>
          <w:p w14:paraId="25FA0160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□允许</w:t>
            </w:r>
          </w:p>
          <w:p w14:paraId="2284DB27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允许细微偏离，应当符合相关规定的偏离范围和幅度。</w:t>
            </w:r>
          </w:p>
        </w:tc>
      </w:tr>
      <w:tr w14:paraId="08ADF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exact"/>
          <w:jc w:val="center"/>
        </w:trPr>
        <w:tc>
          <w:tcPr>
            <w:tcW w:w="738" w:type="dxa"/>
            <w:vAlign w:val="center"/>
          </w:tcPr>
          <w:p w14:paraId="3F85139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10</w:t>
            </w:r>
          </w:p>
        </w:tc>
        <w:tc>
          <w:tcPr>
            <w:tcW w:w="1658" w:type="dxa"/>
            <w:vAlign w:val="center"/>
          </w:tcPr>
          <w:p w14:paraId="14358D2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截止时间</w:t>
            </w:r>
          </w:p>
        </w:tc>
        <w:tc>
          <w:tcPr>
            <w:tcW w:w="6126" w:type="dxa"/>
            <w:vAlign w:val="center"/>
          </w:tcPr>
          <w:p w14:paraId="5D904F03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2023年8月25日12:00</w:t>
            </w:r>
          </w:p>
        </w:tc>
      </w:tr>
      <w:tr w14:paraId="5FD81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exact"/>
          <w:jc w:val="center"/>
        </w:trPr>
        <w:tc>
          <w:tcPr>
            <w:tcW w:w="738" w:type="dxa"/>
            <w:vAlign w:val="center"/>
          </w:tcPr>
          <w:p w14:paraId="158BD1A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11</w:t>
            </w:r>
          </w:p>
        </w:tc>
        <w:tc>
          <w:tcPr>
            <w:tcW w:w="1658" w:type="dxa"/>
            <w:vAlign w:val="center"/>
          </w:tcPr>
          <w:p w14:paraId="6FC89BB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保证金</w:t>
            </w:r>
          </w:p>
        </w:tc>
        <w:tc>
          <w:tcPr>
            <w:tcW w:w="6126" w:type="dxa"/>
            <w:vAlign w:val="center"/>
          </w:tcPr>
          <w:p w14:paraId="4292FFF4">
            <w:pPr>
              <w:framePr w:wrap="auto" w:vAnchor="margin" w:hAnchor="text" w:yAlign="inline"/>
              <w:wordWrap w:val="0"/>
              <w:adjustRightInd w:val="0"/>
              <w:snapToGrid w:val="0"/>
              <w:jc w:val="left"/>
              <w:rPr>
                <w:rFonts w:hint="default" w:ascii="宋体" w:hAnsi="宋体" w:eastAsia="宋体" w:cs="宋体"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本项目不收取采购保证金</w:t>
            </w:r>
          </w:p>
        </w:tc>
      </w:tr>
      <w:tr w14:paraId="1DA4F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6" w:hRule="exact"/>
          <w:jc w:val="center"/>
        </w:trPr>
        <w:tc>
          <w:tcPr>
            <w:tcW w:w="738" w:type="dxa"/>
            <w:vAlign w:val="center"/>
          </w:tcPr>
          <w:p w14:paraId="7573AA2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12</w:t>
            </w:r>
          </w:p>
        </w:tc>
        <w:tc>
          <w:tcPr>
            <w:tcW w:w="1658" w:type="dxa"/>
            <w:vAlign w:val="center"/>
          </w:tcPr>
          <w:p w14:paraId="5E2088F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盖章</w:t>
            </w:r>
          </w:p>
          <w:p w14:paraId="37A52CD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具体要求</w:t>
            </w:r>
          </w:p>
        </w:tc>
        <w:tc>
          <w:tcPr>
            <w:tcW w:w="6126" w:type="dxa"/>
            <w:vAlign w:val="center"/>
          </w:tcPr>
          <w:p w14:paraId="2295B028">
            <w:pPr>
              <w:framePr w:wrap="auto" w:vAnchor="margin" w:hAnchor="text" w:yAlign="inline"/>
              <w:wordWrap w:val="0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响应文件应用不褪色的墨水书写或打印，并按竞价文件明确规定要求盖章。</w:t>
            </w:r>
          </w:p>
        </w:tc>
      </w:tr>
      <w:tr w14:paraId="183F0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exact"/>
          <w:jc w:val="center"/>
        </w:trPr>
        <w:tc>
          <w:tcPr>
            <w:tcW w:w="738" w:type="dxa"/>
            <w:vAlign w:val="center"/>
          </w:tcPr>
          <w:p w14:paraId="6C10E94C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13</w:t>
            </w:r>
          </w:p>
        </w:tc>
        <w:tc>
          <w:tcPr>
            <w:tcW w:w="1658" w:type="dxa"/>
            <w:vAlign w:val="center"/>
          </w:tcPr>
          <w:p w14:paraId="4A5A4FDE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文件</w:t>
            </w:r>
          </w:p>
          <w:p w14:paraId="25D8CEA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份数</w:t>
            </w:r>
          </w:p>
        </w:tc>
        <w:tc>
          <w:tcPr>
            <w:tcW w:w="6126" w:type="dxa"/>
            <w:vAlign w:val="center"/>
          </w:tcPr>
          <w:p w14:paraId="79CE2B0C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一式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份，密封提交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。</w:t>
            </w:r>
          </w:p>
        </w:tc>
      </w:tr>
      <w:tr w14:paraId="19885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738" w:type="dxa"/>
            <w:vAlign w:val="center"/>
          </w:tcPr>
          <w:p w14:paraId="16C4E68A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14</w:t>
            </w:r>
          </w:p>
        </w:tc>
        <w:tc>
          <w:tcPr>
            <w:tcW w:w="1658" w:type="dxa"/>
            <w:vAlign w:val="center"/>
          </w:tcPr>
          <w:p w14:paraId="49E8FDEC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装订要求</w:t>
            </w:r>
          </w:p>
        </w:tc>
        <w:tc>
          <w:tcPr>
            <w:tcW w:w="6126" w:type="dxa"/>
            <w:vAlign w:val="center"/>
          </w:tcPr>
          <w:p w14:paraId="341D92AA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无</w:t>
            </w:r>
          </w:p>
        </w:tc>
      </w:tr>
      <w:tr w14:paraId="633AE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1" w:hRule="atLeast"/>
          <w:jc w:val="center"/>
        </w:trPr>
        <w:tc>
          <w:tcPr>
            <w:tcW w:w="738" w:type="dxa"/>
            <w:vAlign w:val="center"/>
          </w:tcPr>
          <w:p w14:paraId="6B0BD75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15</w:t>
            </w:r>
          </w:p>
        </w:tc>
        <w:tc>
          <w:tcPr>
            <w:tcW w:w="1658" w:type="dxa"/>
            <w:vAlign w:val="center"/>
          </w:tcPr>
          <w:p w14:paraId="5A59BFC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封套上写明</w:t>
            </w:r>
          </w:p>
        </w:tc>
        <w:tc>
          <w:tcPr>
            <w:tcW w:w="6126" w:type="dxa"/>
            <w:vAlign w:val="center"/>
          </w:tcPr>
          <w:p w14:paraId="706D0BB8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采购人名称：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广东路通达建设工程有限公司</w:t>
            </w:r>
          </w:p>
          <w:p w14:paraId="6766CF53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送达响应文件地址：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 xml:space="preserve"> 惠州市惠东县惠东大道1212号4楼</w:t>
            </w:r>
          </w:p>
          <w:p w14:paraId="5167A388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响应人名称：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   </w:t>
            </w:r>
          </w:p>
          <w:p w14:paraId="4D5ACBA0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响应人地址：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   </w:t>
            </w:r>
          </w:p>
          <w:p w14:paraId="5AC9EFB5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响应项目名称：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</w:t>
            </w:r>
          </w:p>
          <w:p w14:paraId="74769D45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在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日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时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分（即开启时间）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前不得开启</w:t>
            </w:r>
          </w:p>
          <w:p w14:paraId="68E255E8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lang w:eastAsia="zh-CN"/>
              </w:rPr>
              <w:t>封口处须加盖响应人单位公章</w:t>
            </w:r>
          </w:p>
        </w:tc>
      </w:tr>
      <w:tr w14:paraId="36437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738" w:type="dxa"/>
            <w:vAlign w:val="center"/>
          </w:tcPr>
          <w:p w14:paraId="0B386D0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16</w:t>
            </w:r>
          </w:p>
        </w:tc>
        <w:tc>
          <w:tcPr>
            <w:tcW w:w="1658" w:type="dxa"/>
            <w:vAlign w:val="center"/>
          </w:tcPr>
          <w:p w14:paraId="009447F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递交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地点</w:t>
            </w:r>
          </w:p>
        </w:tc>
        <w:tc>
          <w:tcPr>
            <w:tcW w:w="6126" w:type="dxa"/>
            <w:vAlign w:val="center"/>
          </w:tcPr>
          <w:p w14:paraId="431AF72A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惠州市惠东县惠东大道1212号4楼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val="en-US" w:eastAsia="zh-CN"/>
              </w:rPr>
              <w:t xml:space="preserve"> </w:t>
            </w:r>
          </w:p>
        </w:tc>
      </w:tr>
      <w:tr w14:paraId="330E6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738" w:type="dxa"/>
            <w:vAlign w:val="center"/>
          </w:tcPr>
          <w:p w14:paraId="2651F42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17</w:t>
            </w:r>
          </w:p>
        </w:tc>
        <w:tc>
          <w:tcPr>
            <w:tcW w:w="1658" w:type="dxa"/>
            <w:vAlign w:val="center"/>
          </w:tcPr>
          <w:p w14:paraId="23F1091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响应文件开启时间和地点</w:t>
            </w:r>
          </w:p>
        </w:tc>
        <w:tc>
          <w:tcPr>
            <w:tcW w:w="6126" w:type="dxa"/>
            <w:vAlign w:val="center"/>
          </w:tcPr>
          <w:p w14:paraId="63FB0176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开启时间：同响应截止时间</w:t>
            </w:r>
          </w:p>
          <w:p w14:paraId="537EAE36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开启地点：同递交响应文件地点</w:t>
            </w:r>
          </w:p>
        </w:tc>
      </w:tr>
      <w:tr w14:paraId="078DF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1" w:hRule="exact"/>
          <w:jc w:val="center"/>
        </w:trPr>
        <w:tc>
          <w:tcPr>
            <w:tcW w:w="738" w:type="dxa"/>
            <w:vAlign w:val="center"/>
          </w:tcPr>
          <w:p w14:paraId="718A261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18</w:t>
            </w:r>
          </w:p>
        </w:tc>
        <w:tc>
          <w:tcPr>
            <w:tcW w:w="1658" w:type="dxa"/>
            <w:vAlign w:val="center"/>
          </w:tcPr>
          <w:p w14:paraId="53ABF23E">
            <w:pPr>
              <w:framePr w:wrap="auto" w:vAnchor="margin" w:hAnchor="text" w:yAlign="inline"/>
              <w:wordWrap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竞价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程序</w:t>
            </w:r>
          </w:p>
        </w:tc>
        <w:tc>
          <w:tcPr>
            <w:tcW w:w="6126" w:type="dxa"/>
            <w:vAlign w:val="center"/>
          </w:tcPr>
          <w:p w14:paraId="3CC85FD1">
            <w:pPr>
              <w:pStyle w:val="26"/>
              <w:framePr w:wrap="auto" w:vAnchor="margin" w:hAnchor="text" w:yAlign="inline"/>
              <w:wordWrap w:val="0"/>
              <w:ind w:firstLine="0" w:firstLineChars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（1）核对原件：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；</w:t>
            </w:r>
          </w:p>
          <w:p w14:paraId="56204F66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lang w:eastAsia="zh-CN"/>
              </w:rPr>
              <w:t>（2）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开启顺序：按响应人递交响应文件时间的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顺序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开启；</w:t>
            </w:r>
          </w:p>
          <w:p w14:paraId="3EFE5C29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）开启时，报价函中报价总价小写金额与大写金额不一致时，以大写金额为准。</w:t>
            </w:r>
          </w:p>
        </w:tc>
      </w:tr>
      <w:tr w14:paraId="72063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exact"/>
          <w:jc w:val="center"/>
        </w:trPr>
        <w:tc>
          <w:tcPr>
            <w:tcW w:w="738" w:type="dxa"/>
            <w:vAlign w:val="center"/>
          </w:tcPr>
          <w:p w14:paraId="49583D0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19</w:t>
            </w:r>
          </w:p>
        </w:tc>
        <w:tc>
          <w:tcPr>
            <w:tcW w:w="1658" w:type="dxa"/>
            <w:vAlign w:val="center"/>
          </w:tcPr>
          <w:p w14:paraId="732AAC4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评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选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办法</w:t>
            </w:r>
          </w:p>
        </w:tc>
        <w:tc>
          <w:tcPr>
            <w:tcW w:w="6126" w:type="dxa"/>
            <w:vAlign w:val="center"/>
          </w:tcPr>
          <w:p w14:paraId="126E3D10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详见第四部分</w:t>
            </w:r>
          </w:p>
        </w:tc>
      </w:tr>
      <w:tr w14:paraId="5F413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38" w:type="dxa"/>
            <w:vAlign w:val="center"/>
          </w:tcPr>
          <w:p w14:paraId="4524EAC4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0</w:t>
            </w:r>
          </w:p>
        </w:tc>
        <w:tc>
          <w:tcPr>
            <w:tcW w:w="1658" w:type="dxa"/>
            <w:vAlign w:val="center"/>
          </w:tcPr>
          <w:p w14:paraId="6E5702C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推荐中选候选人</w:t>
            </w:r>
          </w:p>
        </w:tc>
        <w:tc>
          <w:tcPr>
            <w:tcW w:w="6126" w:type="dxa"/>
            <w:vAlign w:val="center"/>
          </w:tcPr>
          <w:p w14:paraId="0A4FA0E5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推荐中选候选人的人数为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名。</w:t>
            </w:r>
          </w:p>
        </w:tc>
      </w:tr>
      <w:tr w14:paraId="2F85A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738" w:type="dxa"/>
            <w:vAlign w:val="center"/>
          </w:tcPr>
          <w:p w14:paraId="0F0719D4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</w:t>
            </w:r>
          </w:p>
        </w:tc>
        <w:tc>
          <w:tcPr>
            <w:tcW w:w="1658" w:type="dxa"/>
            <w:vAlign w:val="center"/>
          </w:tcPr>
          <w:p w14:paraId="603DE86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中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选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通知</w:t>
            </w:r>
          </w:p>
        </w:tc>
        <w:tc>
          <w:tcPr>
            <w:tcW w:w="6126" w:type="dxa"/>
            <w:vAlign w:val="center"/>
          </w:tcPr>
          <w:p w14:paraId="4186D999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人将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竞价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结果在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val="en-US" w:eastAsia="zh-CN" w:bidi="ar"/>
              </w:rPr>
              <w:t>广东路通达建设工程有限公司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官网（http://www.gdltdjs.com）公示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val="en-US" w:eastAsia="zh-CN" w:bidi="ar"/>
              </w:rPr>
              <w:t>3天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，公示无异议后以书面形式向中选人发出中选通知书。</w:t>
            </w:r>
          </w:p>
        </w:tc>
      </w:tr>
      <w:tr w14:paraId="0315B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738" w:type="dxa"/>
            <w:vAlign w:val="center"/>
          </w:tcPr>
          <w:p w14:paraId="52D969B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2</w:t>
            </w:r>
          </w:p>
        </w:tc>
        <w:tc>
          <w:tcPr>
            <w:tcW w:w="1658" w:type="dxa"/>
            <w:vAlign w:val="center"/>
          </w:tcPr>
          <w:p w14:paraId="6713459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履约担保</w:t>
            </w:r>
          </w:p>
        </w:tc>
        <w:tc>
          <w:tcPr>
            <w:tcW w:w="6126" w:type="dxa"/>
            <w:vAlign w:val="center"/>
          </w:tcPr>
          <w:p w14:paraId="3C39F08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/</w:t>
            </w:r>
          </w:p>
        </w:tc>
      </w:tr>
      <w:tr w14:paraId="08A6E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exact"/>
          <w:jc w:val="center"/>
        </w:trPr>
        <w:tc>
          <w:tcPr>
            <w:tcW w:w="738" w:type="dxa"/>
            <w:vAlign w:val="center"/>
          </w:tcPr>
          <w:p w14:paraId="09A705E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3</w:t>
            </w:r>
          </w:p>
        </w:tc>
        <w:tc>
          <w:tcPr>
            <w:tcW w:w="1658" w:type="dxa"/>
            <w:vAlign w:val="center"/>
          </w:tcPr>
          <w:p w14:paraId="5404EF8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质量担保</w:t>
            </w:r>
          </w:p>
        </w:tc>
        <w:tc>
          <w:tcPr>
            <w:tcW w:w="6126" w:type="dxa"/>
            <w:vAlign w:val="center"/>
          </w:tcPr>
          <w:p w14:paraId="41571992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/</w:t>
            </w:r>
          </w:p>
        </w:tc>
      </w:tr>
      <w:tr w14:paraId="34524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exact"/>
          <w:jc w:val="center"/>
        </w:trPr>
        <w:tc>
          <w:tcPr>
            <w:tcW w:w="8522" w:type="dxa"/>
            <w:gridSpan w:val="3"/>
            <w:vAlign w:val="center"/>
          </w:tcPr>
          <w:p w14:paraId="6DCFE4B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需要补充的其他内容</w:t>
            </w:r>
          </w:p>
        </w:tc>
      </w:tr>
      <w:tr w14:paraId="2CCEC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vAlign w:val="center"/>
          </w:tcPr>
          <w:p w14:paraId="39467CA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4</w:t>
            </w:r>
          </w:p>
        </w:tc>
        <w:tc>
          <w:tcPr>
            <w:tcW w:w="1658" w:type="dxa"/>
            <w:vAlign w:val="center"/>
          </w:tcPr>
          <w:p w14:paraId="3DCB44BA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废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选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条款</w:t>
            </w:r>
          </w:p>
        </w:tc>
        <w:tc>
          <w:tcPr>
            <w:tcW w:w="6126" w:type="dxa"/>
            <w:vAlign w:val="center"/>
          </w:tcPr>
          <w:p w14:paraId="64A19F2B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1、响应人必须同时满足本表格第6项“参选人资格条件”所列的全部条件，否则废选；</w:t>
            </w:r>
          </w:p>
          <w:p w14:paraId="0EF804A6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b w:val="0"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2、响应人必须在约定的时间内，将响应文件递交到指定地点，否则废选：</w:t>
            </w:r>
          </w:p>
        </w:tc>
      </w:tr>
      <w:tr w14:paraId="68C90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vAlign w:val="center"/>
          </w:tcPr>
          <w:p w14:paraId="5B04987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5</w:t>
            </w:r>
          </w:p>
        </w:tc>
        <w:tc>
          <w:tcPr>
            <w:tcW w:w="1658" w:type="dxa"/>
            <w:vAlign w:val="center"/>
          </w:tcPr>
          <w:p w14:paraId="3006F07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最高限价</w:t>
            </w:r>
          </w:p>
        </w:tc>
        <w:tc>
          <w:tcPr>
            <w:tcW w:w="6126" w:type="dxa"/>
            <w:vAlign w:val="center"/>
          </w:tcPr>
          <w:p w14:paraId="1F6DA746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本工程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不设置最高限价</w:t>
            </w:r>
          </w:p>
        </w:tc>
      </w:tr>
      <w:tr w14:paraId="01144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vAlign w:val="center"/>
          </w:tcPr>
          <w:p w14:paraId="01C69DE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6</w:t>
            </w:r>
          </w:p>
        </w:tc>
        <w:tc>
          <w:tcPr>
            <w:tcW w:w="1658" w:type="dxa"/>
            <w:vAlign w:val="center"/>
          </w:tcPr>
          <w:p w14:paraId="7148C75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重新竞价</w:t>
            </w:r>
          </w:p>
        </w:tc>
        <w:tc>
          <w:tcPr>
            <w:tcW w:w="6126" w:type="dxa"/>
            <w:vAlign w:val="center"/>
          </w:tcPr>
          <w:p w14:paraId="152DFAF3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有下列情形之一的，采购人将重新竞价：</w:t>
            </w:r>
          </w:p>
          <w:p w14:paraId="7BE72535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（1）响应截止时间止，响应人少于3个的；</w:t>
            </w:r>
          </w:p>
          <w:p w14:paraId="699641A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（2）采购代理机构审查后否决所有响应文件的；</w:t>
            </w:r>
          </w:p>
          <w:p w14:paraId="7342DD0B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（3）中选人无正当理由拒签合同的，或者中选人放弃中选或因不可抗力不能履行合同，或者被查实存在影响中选结果的违法行为等情形，中选人不符合中选条件的；</w:t>
            </w:r>
          </w:p>
          <w:p w14:paraId="3E35E394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（4）法律规定的其他情形。</w:t>
            </w:r>
          </w:p>
        </w:tc>
      </w:tr>
      <w:tr w14:paraId="1F4E3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vAlign w:val="center"/>
          </w:tcPr>
          <w:p w14:paraId="577C674C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7</w:t>
            </w:r>
          </w:p>
        </w:tc>
        <w:tc>
          <w:tcPr>
            <w:tcW w:w="1658" w:type="dxa"/>
            <w:vAlign w:val="center"/>
          </w:tcPr>
          <w:p w14:paraId="21E69C0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其他</w:t>
            </w:r>
          </w:p>
        </w:tc>
        <w:tc>
          <w:tcPr>
            <w:tcW w:w="6126" w:type="dxa"/>
            <w:vAlign w:val="center"/>
          </w:tcPr>
          <w:p w14:paraId="49EE306B">
            <w:pPr>
              <w:framePr w:wrap="auto" w:vAnchor="margin" w:hAnchor="text" w:yAlign="inline"/>
              <w:wordWrap w:val="0"/>
              <w:adjustRightInd w:val="0"/>
              <w:snapToGrid w:val="0"/>
              <w:spacing w:before="0" w:after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4"/>
                <w:lang w:eastAsia="zh-CN"/>
              </w:rPr>
              <w:t>本竞价文件的解释权归广东路通达建设工程有限公司、惠州市天逸咨询有限公司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。</w:t>
            </w:r>
          </w:p>
        </w:tc>
      </w:tr>
    </w:tbl>
    <w:p w14:paraId="33A521AC">
      <w:pPr>
        <w:framePr w:wrap="auto" w:vAnchor="margin" w:hAnchor="text" w:yAlign="inline"/>
        <w:rPr>
          <w:rFonts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br w:type="page"/>
      </w:r>
    </w:p>
    <w:p w14:paraId="1006D235">
      <w:pPr>
        <w:framePr w:wrap="auto" w:vAnchor="margin" w:hAnchor="text" w:yAlign="inline"/>
        <w:autoSpaceDE w:val="0"/>
        <w:autoSpaceDN w:val="0"/>
        <w:adjustRightInd w:val="0"/>
        <w:spacing w:line="700" w:lineRule="exact"/>
        <w:jc w:val="both"/>
        <w:rPr>
          <w:rFonts w:hint="eastAsia" w:ascii="宋体" w:hAnsi="宋体" w:eastAsia="宋体" w:cs="宋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附表一：</w:t>
      </w:r>
    </w:p>
    <w:p w14:paraId="7BB6B97A">
      <w:pPr>
        <w:framePr w:wrap="auto" w:vAnchor="margin" w:hAnchor="text" w:yAlign="inline"/>
        <w:autoSpaceDE w:val="0"/>
        <w:autoSpaceDN w:val="0"/>
        <w:adjustRightInd w:val="0"/>
        <w:spacing w:line="700" w:lineRule="exact"/>
        <w:jc w:val="center"/>
        <w:rPr>
          <w:rFonts w:hint="eastAsia" w:ascii="宋体" w:hAnsi="宋体" w:eastAsia="宋体" w:cs="宋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32"/>
          <w:szCs w:val="32"/>
          <w:lang w:eastAsia="zh-CN"/>
        </w:rPr>
        <w:t>响应文件开启记录表</w:t>
      </w:r>
    </w:p>
    <w:p w14:paraId="7FB250C6">
      <w:pPr>
        <w:framePr w:wrap="auto" w:vAnchor="margin" w:hAnchor="text" w:yAlign="inline"/>
        <w:spacing w:line="360" w:lineRule="auto"/>
        <w:jc w:val="both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</w:pPr>
    </w:p>
    <w:p w14:paraId="1AA4CAC9">
      <w:pPr>
        <w:framePr w:wrap="auto" w:vAnchor="margin" w:hAnchor="text" w:yAlign="inline"/>
        <w:spacing w:line="360" w:lineRule="auto"/>
        <w:jc w:val="both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singl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  <w:t>项目名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eastAsia="zh-CN"/>
        </w:rPr>
        <w:t>称：</w:t>
      </w:r>
      <w:r>
        <w:rPr>
          <w:rFonts w:hint="eastAsia" w:ascii="宋体" w:hAnsi="宋体" w:eastAsia="宋体" w:cs="宋体"/>
          <w:color w:val="auto"/>
          <w:sz w:val="21"/>
          <w:u w:val="none"/>
          <w:lang w:val="en-US" w:eastAsia="zh-CN"/>
        </w:rPr>
        <w:t>惠东产业转移工业园鹏泰一路及鹏顺路一期道路工程项目（编号12号）自卸汽车、洒水车机械租赁供应商</w:t>
      </w:r>
    </w:p>
    <w:tbl>
      <w:tblPr>
        <w:tblStyle w:val="17"/>
        <w:tblW w:w="911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2114"/>
        <w:gridCol w:w="912"/>
        <w:gridCol w:w="970"/>
        <w:gridCol w:w="1618"/>
        <w:gridCol w:w="1684"/>
        <w:gridCol w:w="1272"/>
      </w:tblGrid>
      <w:tr w14:paraId="3A6F5AF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2" w:hRule="atLeast"/>
          <w:jc w:val="center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060094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2114" w:type="dxa"/>
            <w:tcBorders>
              <w:top w:val="single" w:color="auto" w:sz="4" w:space="0"/>
            </w:tcBorders>
            <w:vAlign w:val="center"/>
          </w:tcPr>
          <w:p w14:paraId="4DAE9DD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响应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人</w:t>
            </w:r>
          </w:p>
        </w:tc>
        <w:tc>
          <w:tcPr>
            <w:tcW w:w="912" w:type="dxa"/>
            <w:tcBorders>
              <w:top w:val="single" w:color="auto" w:sz="4" w:space="0"/>
            </w:tcBorders>
            <w:vAlign w:val="center"/>
          </w:tcPr>
          <w:p w14:paraId="108781D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送达情况</w:t>
            </w:r>
          </w:p>
        </w:tc>
        <w:tc>
          <w:tcPr>
            <w:tcW w:w="970" w:type="dxa"/>
            <w:tcBorders>
              <w:top w:val="single" w:color="auto" w:sz="4" w:space="0"/>
            </w:tcBorders>
            <w:vAlign w:val="center"/>
          </w:tcPr>
          <w:p w14:paraId="2ADC0AAC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密封情况</w:t>
            </w:r>
          </w:p>
        </w:tc>
        <w:tc>
          <w:tcPr>
            <w:tcW w:w="1618" w:type="dxa"/>
            <w:tcBorders>
              <w:top w:val="single" w:color="auto" w:sz="4" w:space="0"/>
            </w:tcBorders>
            <w:vAlign w:val="center"/>
          </w:tcPr>
          <w:p w14:paraId="2E681C4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报价</w:t>
            </w:r>
          </w:p>
          <w:p w14:paraId="3F2AF25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(元）</w:t>
            </w:r>
          </w:p>
        </w:tc>
        <w:tc>
          <w:tcPr>
            <w:tcW w:w="1684" w:type="dxa"/>
            <w:tcBorders>
              <w:top w:val="single" w:color="auto" w:sz="4" w:space="0"/>
            </w:tcBorders>
            <w:vAlign w:val="center"/>
          </w:tcPr>
          <w:p w14:paraId="5066270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联系人</w:t>
            </w:r>
          </w:p>
        </w:tc>
        <w:tc>
          <w:tcPr>
            <w:tcW w:w="1272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29AA756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电话</w:t>
            </w:r>
          </w:p>
        </w:tc>
      </w:tr>
      <w:tr w14:paraId="0A7EA5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02" w:hRule="atLeast"/>
          <w:jc w:val="center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085A91B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1</w:t>
            </w:r>
          </w:p>
        </w:tc>
        <w:tc>
          <w:tcPr>
            <w:tcW w:w="2114" w:type="dxa"/>
            <w:vAlign w:val="center"/>
          </w:tcPr>
          <w:p w14:paraId="6BB95CC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25C770F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5C81194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2709F66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0C6E72C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1A236B5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104277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0" w:hRule="atLeast"/>
          <w:jc w:val="center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74683C8C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2</w:t>
            </w:r>
          </w:p>
        </w:tc>
        <w:tc>
          <w:tcPr>
            <w:tcW w:w="2114" w:type="dxa"/>
            <w:vAlign w:val="center"/>
          </w:tcPr>
          <w:p w14:paraId="1C62FE4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5017BA8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1C3DBB5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680A975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149F3E1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1012ECA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1CBBBA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28" w:hRule="atLeast"/>
          <w:jc w:val="center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0B4850D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3</w:t>
            </w:r>
          </w:p>
        </w:tc>
        <w:tc>
          <w:tcPr>
            <w:tcW w:w="2114" w:type="dxa"/>
            <w:vAlign w:val="center"/>
          </w:tcPr>
          <w:p w14:paraId="036BF56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59C8280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0825E1F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7BFFC1F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7B3E0F1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2577762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744FFD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12" w:hRule="atLeast"/>
          <w:jc w:val="center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3DC9D85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4</w:t>
            </w:r>
          </w:p>
        </w:tc>
        <w:tc>
          <w:tcPr>
            <w:tcW w:w="2114" w:type="dxa"/>
            <w:vAlign w:val="center"/>
          </w:tcPr>
          <w:p w14:paraId="36ECD5E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5916229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4F56377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66AA472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4226A27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4E84145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19F8BA5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80" w:hRule="atLeast"/>
          <w:jc w:val="center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06B52E0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5</w:t>
            </w:r>
          </w:p>
        </w:tc>
        <w:tc>
          <w:tcPr>
            <w:tcW w:w="2114" w:type="dxa"/>
            <w:vAlign w:val="center"/>
          </w:tcPr>
          <w:p w14:paraId="55A17F6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5AB401F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14A9344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66BBBA9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34890FB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589C820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3031BD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10" w:hRule="atLeast"/>
          <w:jc w:val="center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16818AF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6</w:t>
            </w:r>
          </w:p>
        </w:tc>
        <w:tc>
          <w:tcPr>
            <w:tcW w:w="2114" w:type="dxa"/>
            <w:vAlign w:val="center"/>
          </w:tcPr>
          <w:p w14:paraId="62A8CA1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6B4F85C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1333824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6992A15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17B68FC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4BA7410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3DCDB36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2" w:hRule="atLeast"/>
          <w:jc w:val="center"/>
        </w:trPr>
        <w:tc>
          <w:tcPr>
            <w:tcW w:w="4536" w:type="dxa"/>
            <w:gridSpan w:val="4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221ADB1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最高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限价</w:t>
            </w:r>
          </w:p>
        </w:tc>
        <w:tc>
          <w:tcPr>
            <w:tcW w:w="4574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3384075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元</w:t>
            </w:r>
          </w:p>
        </w:tc>
      </w:tr>
    </w:tbl>
    <w:p w14:paraId="60335277">
      <w:pPr>
        <w:framePr w:wrap="auto" w:vAnchor="margin" w:hAnchor="text" w:yAlign="inline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</w:rPr>
      </w:pPr>
    </w:p>
    <w:p w14:paraId="490D3454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 xml:space="preserve">宣读人：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 xml:space="preserve">  记录人：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 xml:space="preserve">         年   月   日</w:t>
      </w:r>
    </w:p>
    <w:p w14:paraId="22A3E478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</w:p>
    <w:p w14:paraId="27767FB6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监督人：</w:t>
      </w:r>
    </w:p>
    <w:p w14:paraId="21BD513D">
      <w:pPr>
        <w:framePr w:wrap="auto" w:vAnchor="margin" w:hAnchor="text" w:yAlign="inline"/>
        <w:rPr>
          <w:rFonts w:hint="eastAsia" w:ascii="宋体" w:hAnsi="宋体" w:eastAsia="宋体" w:cs="宋体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lang w:eastAsia="zh-CN"/>
        </w:rPr>
        <w:br w:type="page"/>
      </w:r>
    </w:p>
    <w:p w14:paraId="369A0E86">
      <w:pPr>
        <w:framePr w:wrap="auto" w:vAnchor="margin" w:hAnchor="text" w:yAlign="inline"/>
        <w:adjustRightInd w:val="0"/>
        <w:snapToGrid w:val="0"/>
        <w:spacing w:line="360" w:lineRule="auto"/>
        <w:outlineLvl w:val="9"/>
        <w:rPr>
          <w:rFonts w:hint="eastAsia" w:ascii="宋体" w:hAnsi="宋体" w:eastAsia="宋体" w:cs="宋体"/>
          <w:b w:val="0"/>
          <w:bCs/>
          <w:color w:val="auto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附表二：</w:t>
      </w:r>
    </w:p>
    <w:p w14:paraId="7DEBA6F8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中选通知书</w:t>
      </w:r>
    </w:p>
    <w:p w14:paraId="05733C32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lang w:eastAsia="zh-CN"/>
        </w:rPr>
      </w:pPr>
    </w:p>
    <w:p w14:paraId="2BE6A8BC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（中选人名称）：</w:t>
      </w:r>
    </w:p>
    <w:p w14:paraId="26583803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</w:pPr>
    </w:p>
    <w:p w14:paraId="1864F4B4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你方于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（响应截止日期前）所递交的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项目名称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）响应文件已被我方接受，被确定为中选人。</w:t>
      </w:r>
    </w:p>
    <w:p w14:paraId="6FAB5E0E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中选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金额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元。</w:t>
      </w:r>
    </w:p>
    <w:p w14:paraId="1F0D7C60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工期：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 w14:paraId="3F5FE564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请你方在接到本通知书后的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日内到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与采购人签订合同。</w:t>
      </w:r>
    </w:p>
    <w:p w14:paraId="7FC8CF28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 w14:paraId="38758CCE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特此通知。</w:t>
      </w:r>
    </w:p>
    <w:p w14:paraId="66C97DD2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4317" w:firstLineChars="1542"/>
        <w:jc w:val="lef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 w14:paraId="5318D626">
      <w:pPr>
        <w:pStyle w:val="25"/>
        <w:framePr w:wrap="auto" w:vAnchor="margin" w:hAnchor="text" w:yAlign="inline"/>
        <w:wordWrap/>
        <w:topLinePunct/>
        <w:adjustRightInd w:val="0"/>
        <w:snapToGrid w:val="0"/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广东路通达建设工程有限公司</w:t>
      </w:r>
    </w:p>
    <w:p w14:paraId="00DF19D2">
      <w:pPr>
        <w:pStyle w:val="25"/>
        <w:framePr w:wrap="auto" w:vAnchor="margin" w:hAnchor="text" w:yAlign="inline"/>
        <w:wordWrap/>
        <w:topLinePunct/>
        <w:adjustRightInd w:val="0"/>
        <w:snapToGrid w:val="0"/>
        <w:spacing w:line="360" w:lineRule="auto"/>
        <w:jc w:val="right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采购代理机构：惠州市天逸咨询有限公司</w:t>
      </w:r>
    </w:p>
    <w:p w14:paraId="69BDA289">
      <w:pPr>
        <w:pStyle w:val="25"/>
        <w:framePr w:wrap="auto" w:vAnchor="margin" w:hAnchor="text" w:yAlign="inline"/>
        <w:wordWrap/>
        <w:spacing w:line="440" w:lineRule="exact"/>
        <w:jc w:val="right"/>
        <w:rPr>
          <w:rFonts w:hint="eastAsia" w:ascii="宋体" w:hAnsi="宋体" w:eastAsia="宋体" w:cs="宋体"/>
          <w:color w:val="auto"/>
          <w:sz w:val="28"/>
          <w:szCs w:val="28"/>
          <w:u w:val="singl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 w14:paraId="16A267B3">
      <w:pPr>
        <w:framePr w:wrap="auto" w:vAnchor="margin" w:hAnchor="text" w:yAlign="inline"/>
        <w:jc w:val="right"/>
        <w:rPr>
          <w:rFonts w:ascii="宋体" w:hAnsi="宋体" w:eastAsia="宋体" w:cs="宋体"/>
          <w:b/>
          <w:bCs/>
          <w:color w:val="auto"/>
          <w:sz w:val="32"/>
          <w:szCs w:val="32"/>
          <w:lang w:eastAsia="zh-CN"/>
        </w:rPr>
        <w:sectPr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br w:type="page"/>
      </w:r>
    </w:p>
    <w:p w14:paraId="6E4E5FB9">
      <w:pPr>
        <w:pStyle w:val="25"/>
        <w:framePr w:wrap="auto" w:vAnchor="margin" w:hAnchor="text" w:yAlign="inline"/>
        <w:wordWrap w:val="0"/>
        <w:spacing w:line="440" w:lineRule="exact"/>
        <w:jc w:val="center"/>
        <w:outlineLvl w:val="0"/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</w:pPr>
      <w:r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  <w:t>第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三</w:t>
      </w:r>
      <w:r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  <w:t>部分 工程量清单</w:t>
      </w:r>
    </w:p>
    <w:p w14:paraId="2A670BA9">
      <w:pPr>
        <w:pStyle w:val="25"/>
        <w:framePr w:wrap="auto" w:vAnchor="margin" w:hAnchor="text" w:yAlign="inline"/>
        <w:wordWrap w:val="0"/>
        <w:spacing w:line="440" w:lineRule="exact"/>
        <w:jc w:val="center"/>
        <w:outlineLvl w:val="9"/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</w:pPr>
    </w:p>
    <w:p w14:paraId="3626833E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jc w:val="center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自卸汽车、洒水车机械租赁报价单</w:t>
      </w:r>
    </w:p>
    <w:p w14:paraId="5F36E9E5">
      <w:pPr>
        <w:framePr w:wrap="auto" w:vAnchor="margin" w:hAnchor="text" w:yAlign="inline"/>
        <w:spacing w:line="360" w:lineRule="auto"/>
        <w:jc w:val="both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  <w:t>工程名称：惠东产业转移工业园鹏泰一路及鹏顺路一期道路工程项目</w:t>
      </w:r>
    </w:p>
    <w:p w14:paraId="04CAC9BD">
      <w:pPr>
        <w:framePr w:wrap="auto" w:vAnchor="margin" w:hAnchor="text" w:yAlign="inline"/>
        <w:spacing w:line="360" w:lineRule="auto"/>
        <w:jc w:val="both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  <w:t>租赁单位：广东路通达建设工程有限公司</w:t>
      </w:r>
    </w:p>
    <w:tbl>
      <w:tblPr>
        <w:tblStyle w:val="23"/>
        <w:tblW w:w="8480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82"/>
        <w:gridCol w:w="1500"/>
        <w:gridCol w:w="1283"/>
        <w:gridCol w:w="634"/>
        <w:gridCol w:w="1133"/>
        <w:gridCol w:w="1000"/>
        <w:gridCol w:w="1018"/>
        <w:gridCol w:w="1330"/>
      </w:tblGrid>
      <w:tr w14:paraId="4826664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  <w:jc w:val="center"/>
        </w:trPr>
        <w:tc>
          <w:tcPr>
            <w:tcW w:w="582" w:type="dxa"/>
            <w:vMerge w:val="restart"/>
            <w:tcBorders>
              <w:bottom w:val="nil"/>
            </w:tcBorders>
            <w:vAlign w:val="center"/>
          </w:tcPr>
          <w:p w14:paraId="6B0FC9B8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编号</w:t>
            </w:r>
          </w:p>
        </w:tc>
        <w:tc>
          <w:tcPr>
            <w:tcW w:w="1500" w:type="dxa"/>
            <w:vMerge w:val="restart"/>
            <w:tcBorders>
              <w:bottom w:val="nil"/>
            </w:tcBorders>
            <w:vAlign w:val="center"/>
          </w:tcPr>
          <w:p w14:paraId="0AD0B72E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工程项目名称</w:t>
            </w:r>
          </w:p>
        </w:tc>
        <w:tc>
          <w:tcPr>
            <w:tcW w:w="1283" w:type="dxa"/>
            <w:vMerge w:val="restart"/>
            <w:tcBorders>
              <w:bottom w:val="nil"/>
            </w:tcBorders>
            <w:vAlign w:val="center"/>
          </w:tcPr>
          <w:p w14:paraId="5BA9219D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规格（项目特征）</w:t>
            </w:r>
          </w:p>
        </w:tc>
        <w:tc>
          <w:tcPr>
            <w:tcW w:w="634" w:type="dxa"/>
            <w:vMerge w:val="restart"/>
            <w:tcBorders>
              <w:bottom w:val="nil"/>
            </w:tcBorders>
            <w:vAlign w:val="center"/>
          </w:tcPr>
          <w:p w14:paraId="4219FC8A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单位</w:t>
            </w:r>
          </w:p>
        </w:tc>
        <w:tc>
          <w:tcPr>
            <w:tcW w:w="1133" w:type="dxa"/>
            <w:vMerge w:val="restart"/>
            <w:tcBorders>
              <w:bottom w:val="nil"/>
            </w:tcBorders>
            <w:vAlign w:val="center"/>
          </w:tcPr>
          <w:p w14:paraId="42B5741A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数量（暂定）</w:t>
            </w:r>
          </w:p>
        </w:tc>
        <w:tc>
          <w:tcPr>
            <w:tcW w:w="1000" w:type="dxa"/>
            <w:vAlign w:val="center"/>
          </w:tcPr>
          <w:p w14:paraId="6278F448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不含税单价</w:t>
            </w:r>
          </w:p>
        </w:tc>
        <w:tc>
          <w:tcPr>
            <w:tcW w:w="1018" w:type="dxa"/>
            <w:vAlign w:val="center"/>
          </w:tcPr>
          <w:p w14:paraId="6B521224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不含税金额</w:t>
            </w:r>
          </w:p>
        </w:tc>
        <w:tc>
          <w:tcPr>
            <w:tcW w:w="1330" w:type="dxa"/>
            <w:vMerge w:val="restart"/>
            <w:tcBorders>
              <w:bottom w:val="nil"/>
            </w:tcBorders>
            <w:vAlign w:val="center"/>
          </w:tcPr>
          <w:p w14:paraId="3C194B36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备注</w:t>
            </w:r>
          </w:p>
        </w:tc>
      </w:tr>
      <w:tr w14:paraId="62F354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  <w:jc w:val="center"/>
        </w:trPr>
        <w:tc>
          <w:tcPr>
            <w:tcW w:w="582" w:type="dxa"/>
            <w:vMerge w:val="continue"/>
            <w:tcBorders>
              <w:top w:val="nil"/>
            </w:tcBorders>
            <w:vAlign w:val="center"/>
          </w:tcPr>
          <w:p w14:paraId="40C5C2B6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500" w:type="dxa"/>
            <w:vMerge w:val="continue"/>
            <w:tcBorders>
              <w:top w:val="nil"/>
            </w:tcBorders>
            <w:vAlign w:val="center"/>
          </w:tcPr>
          <w:p w14:paraId="44F00721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283" w:type="dxa"/>
            <w:vMerge w:val="continue"/>
            <w:tcBorders>
              <w:top w:val="nil"/>
            </w:tcBorders>
            <w:vAlign w:val="center"/>
          </w:tcPr>
          <w:p w14:paraId="7547A071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634" w:type="dxa"/>
            <w:vMerge w:val="continue"/>
            <w:tcBorders>
              <w:top w:val="nil"/>
            </w:tcBorders>
            <w:vAlign w:val="center"/>
          </w:tcPr>
          <w:p w14:paraId="6AF47684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133" w:type="dxa"/>
            <w:vMerge w:val="continue"/>
            <w:tcBorders>
              <w:top w:val="nil"/>
            </w:tcBorders>
            <w:vAlign w:val="center"/>
          </w:tcPr>
          <w:p w14:paraId="4ADA077D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000" w:type="dxa"/>
            <w:vAlign w:val="center"/>
          </w:tcPr>
          <w:p w14:paraId="292E39CF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(元)</w:t>
            </w:r>
          </w:p>
        </w:tc>
        <w:tc>
          <w:tcPr>
            <w:tcW w:w="1018" w:type="dxa"/>
            <w:vAlign w:val="center"/>
          </w:tcPr>
          <w:p w14:paraId="04959BD0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(元)</w:t>
            </w:r>
          </w:p>
        </w:tc>
        <w:tc>
          <w:tcPr>
            <w:tcW w:w="1330" w:type="dxa"/>
            <w:vMerge w:val="continue"/>
            <w:tcBorders>
              <w:top w:val="nil"/>
            </w:tcBorders>
            <w:vAlign w:val="center"/>
          </w:tcPr>
          <w:p w14:paraId="0A32FB6C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</w:tr>
      <w:tr w14:paraId="372D52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  <w:jc w:val="center"/>
        </w:trPr>
        <w:tc>
          <w:tcPr>
            <w:tcW w:w="582" w:type="dxa"/>
            <w:vAlign w:val="center"/>
          </w:tcPr>
          <w:p w14:paraId="0E524BE2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500" w:type="dxa"/>
            <w:vAlign w:val="center"/>
          </w:tcPr>
          <w:p w14:paraId="4C6146A6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自卸汽车</w:t>
            </w:r>
          </w:p>
        </w:tc>
        <w:tc>
          <w:tcPr>
            <w:tcW w:w="1283" w:type="dxa"/>
            <w:vAlign w:val="center"/>
          </w:tcPr>
          <w:p w14:paraId="6A6FF784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17.3t</w:t>
            </w:r>
          </w:p>
        </w:tc>
        <w:tc>
          <w:tcPr>
            <w:tcW w:w="634" w:type="dxa"/>
            <w:vAlign w:val="center"/>
          </w:tcPr>
          <w:p w14:paraId="2459A825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台班</w:t>
            </w:r>
          </w:p>
        </w:tc>
        <w:tc>
          <w:tcPr>
            <w:tcW w:w="1133" w:type="dxa"/>
            <w:vAlign w:val="center"/>
          </w:tcPr>
          <w:p w14:paraId="1BF757A7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2167</w:t>
            </w:r>
          </w:p>
        </w:tc>
        <w:tc>
          <w:tcPr>
            <w:tcW w:w="1000" w:type="dxa"/>
            <w:vAlign w:val="center"/>
          </w:tcPr>
          <w:p w14:paraId="5DF42F0B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018" w:type="dxa"/>
            <w:vAlign w:val="center"/>
          </w:tcPr>
          <w:p w14:paraId="2CFBE96C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330" w:type="dxa"/>
            <w:vAlign w:val="center"/>
          </w:tcPr>
          <w:p w14:paraId="27578BC1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含机上人员、 燃料等费用</w:t>
            </w:r>
          </w:p>
        </w:tc>
      </w:tr>
      <w:tr w14:paraId="1B1F00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7" w:hRule="atLeast"/>
          <w:jc w:val="center"/>
        </w:trPr>
        <w:tc>
          <w:tcPr>
            <w:tcW w:w="582" w:type="dxa"/>
            <w:vAlign w:val="center"/>
          </w:tcPr>
          <w:p w14:paraId="2A57D2E0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1500" w:type="dxa"/>
            <w:vAlign w:val="center"/>
          </w:tcPr>
          <w:p w14:paraId="6828DCB0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洒水车</w:t>
            </w:r>
          </w:p>
        </w:tc>
        <w:tc>
          <w:tcPr>
            <w:tcW w:w="1283" w:type="dxa"/>
            <w:vAlign w:val="center"/>
          </w:tcPr>
          <w:p w14:paraId="00141BF9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9605/10615（L）</w:t>
            </w:r>
          </w:p>
        </w:tc>
        <w:tc>
          <w:tcPr>
            <w:tcW w:w="634" w:type="dxa"/>
            <w:vAlign w:val="center"/>
          </w:tcPr>
          <w:p w14:paraId="4312091A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台班</w:t>
            </w:r>
          </w:p>
        </w:tc>
        <w:tc>
          <w:tcPr>
            <w:tcW w:w="1133" w:type="dxa"/>
            <w:vAlign w:val="center"/>
          </w:tcPr>
          <w:p w14:paraId="07EF0CB8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125</w:t>
            </w:r>
          </w:p>
        </w:tc>
        <w:tc>
          <w:tcPr>
            <w:tcW w:w="1000" w:type="dxa"/>
            <w:vAlign w:val="center"/>
          </w:tcPr>
          <w:p w14:paraId="49ED3EF5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018" w:type="dxa"/>
            <w:vAlign w:val="center"/>
          </w:tcPr>
          <w:p w14:paraId="138C48F9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330" w:type="dxa"/>
            <w:vAlign w:val="center"/>
          </w:tcPr>
          <w:p w14:paraId="131316C1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含机上人员、 燃料等费用</w:t>
            </w:r>
          </w:p>
        </w:tc>
      </w:tr>
      <w:tr w14:paraId="508691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582" w:type="dxa"/>
            <w:vAlign w:val="center"/>
          </w:tcPr>
          <w:p w14:paraId="33A867BF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500" w:type="dxa"/>
            <w:vAlign w:val="center"/>
          </w:tcPr>
          <w:p w14:paraId="313B9DA7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283" w:type="dxa"/>
            <w:vAlign w:val="center"/>
          </w:tcPr>
          <w:p w14:paraId="57A93BBF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634" w:type="dxa"/>
            <w:vAlign w:val="center"/>
          </w:tcPr>
          <w:p w14:paraId="59BA0198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14:paraId="25DE742F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000" w:type="dxa"/>
            <w:vAlign w:val="center"/>
          </w:tcPr>
          <w:p w14:paraId="42558183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018" w:type="dxa"/>
            <w:vAlign w:val="center"/>
          </w:tcPr>
          <w:p w14:paraId="4318DBEF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330" w:type="dxa"/>
            <w:vAlign w:val="center"/>
          </w:tcPr>
          <w:p w14:paraId="2E63A8DC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</w:tr>
      <w:tr w14:paraId="2862D2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582" w:type="dxa"/>
            <w:vAlign w:val="center"/>
          </w:tcPr>
          <w:p w14:paraId="55954980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500" w:type="dxa"/>
            <w:vAlign w:val="center"/>
          </w:tcPr>
          <w:p w14:paraId="0964CC07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283" w:type="dxa"/>
            <w:vAlign w:val="center"/>
          </w:tcPr>
          <w:p w14:paraId="44B3AF34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634" w:type="dxa"/>
            <w:vAlign w:val="center"/>
          </w:tcPr>
          <w:p w14:paraId="53F77BBA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14:paraId="3B94D9DB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000" w:type="dxa"/>
            <w:vAlign w:val="center"/>
          </w:tcPr>
          <w:p w14:paraId="1DC054B3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018" w:type="dxa"/>
            <w:vAlign w:val="center"/>
          </w:tcPr>
          <w:p w14:paraId="5D7B24DA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330" w:type="dxa"/>
            <w:vAlign w:val="center"/>
          </w:tcPr>
          <w:p w14:paraId="0A52FC3E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</w:tr>
      <w:tr w14:paraId="088509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582" w:type="dxa"/>
            <w:vAlign w:val="center"/>
          </w:tcPr>
          <w:p w14:paraId="6CDEA7A7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500" w:type="dxa"/>
            <w:vAlign w:val="center"/>
          </w:tcPr>
          <w:p w14:paraId="67B5B1AB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283" w:type="dxa"/>
            <w:vAlign w:val="center"/>
          </w:tcPr>
          <w:p w14:paraId="7EBE8965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634" w:type="dxa"/>
            <w:vAlign w:val="center"/>
          </w:tcPr>
          <w:p w14:paraId="24D7DBC4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14:paraId="6B48DFDA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000" w:type="dxa"/>
            <w:vAlign w:val="center"/>
          </w:tcPr>
          <w:p w14:paraId="724199E2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018" w:type="dxa"/>
            <w:vAlign w:val="center"/>
          </w:tcPr>
          <w:p w14:paraId="556B3CAE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330" w:type="dxa"/>
            <w:vAlign w:val="center"/>
          </w:tcPr>
          <w:p w14:paraId="08689974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</w:tr>
      <w:tr w14:paraId="175574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582" w:type="dxa"/>
            <w:vAlign w:val="center"/>
          </w:tcPr>
          <w:p w14:paraId="01FBF178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500" w:type="dxa"/>
            <w:vAlign w:val="center"/>
          </w:tcPr>
          <w:p w14:paraId="5E7843AA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283" w:type="dxa"/>
            <w:vAlign w:val="center"/>
          </w:tcPr>
          <w:p w14:paraId="14B822CF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634" w:type="dxa"/>
            <w:vAlign w:val="center"/>
          </w:tcPr>
          <w:p w14:paraId="4FC44129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14:paraId="0A517479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000" w:type="dxa"/>
            <w:vAlign w:val="center"/>
          </w:tcPr>
          <w:p w14:paraId="15FD3BCE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018" w:type="dxa"/>
            <w:vAlign w:val="center"/>
          </w:tcPr>
          <w:p w14:paraId="1EC96610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330" w:type="dxa"/>
            <w:vAlign w:val="center"/>
          </w:tcPr>
          <w:p w14:paraId="7A70EB91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</w:tr>
      <w:tr w14:paraId="2D2502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 w:hRule="atLeast"/>
          <w:jc w:val="center"/>
        </w:trPr>
        <w:tc>
          <w:tcPr>
            <w:tcW w:w="6132" w:type="dxa"/>
            <w:gridSpan w:val="6"/>
            <w:vAlign w:val="center"/>
          </w:tcPr>
          <w:p w14:paraId="43EC9AAE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不含增值税总价：</w:t>
            </w:r>
          </w:p>
        </w:tc>
        <w:tc>
          <w:tcPr>
            <w:tcW w:w="1018" w:type="dxa"/>
            <w:vAlign w:val="center"/>
          </w:tcPr>
          <w:p w14:paraId="7950B5DC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330" w:type="dxa"/>
            <w:vAlign w:val="center"/>
          </w:tcPr>
          <w:p w14:paraId="678765C2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</w:tr>
      <w:tr w14:paraId="143FA5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 w:hRule="atLeast"/>
          <w:jc w:val="center"/>
        </w:trPr>
        <w:tc>
          <w:tcPr>
            <w:tcW w:w="6132" w:type="dxa"/>
            <w:gridSpan w:val="6"/>
            <w:vAlign w:val="center"/>
          </w:tcPr>
          <w:p w14:paraId="6DDF5932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增值税（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%）：</w:t>
            </w:r>
          </w:p>
        </w:tc>
        <w:tc>
          <w:tcPr>
            <w:tcW w:w="1018" w:type="dxa"/>
            <w:vAlign w:val="center"/>
          </w:tcPr>
          <w:p w14:paraId="0DE679A4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330" w:type="dxa"/>
            <w:vAlign w:val="center"/>
          </w:tcPr>
          <w:p w14:paraId="6F0E85E9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</w:tr>
      <w:tr w14:paraId="362C40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  <w:jc w:val="center"/>
        </w:trPr>
        <w:tc>
          <w:tcPr>
            <w:tcW w:w="6132" w:type="dxa"/>
            <w:gridSpan w:val="6"/>
            <w:vAlign w:val="center"/>
          </w:tcPr>
          <w:p w14:paraId="23572668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含税总价合计：</w:t>
            </w:r>
          </w:p>
        </w:tc>
        <w:tc>
          <w:tcPr>
            <w:tcW w:w="1018" w:type="dxa"/>
            <w:vAlign w:val="center"/>
          </w:tcPr>
          <w:p w14:paraId="677D2576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330" w:type="dxa"/>
            <w:vAlign w:val="center"/>
          </w:tcPr>
          <w:p w14:paraId="7A91AF29">
            <w:pPr>
              <w:framePr w:wrap="auto" w:vAnchor="margin" w:hAnchor="text" w:yAlign="inline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</w:p>
        </w:tc>
      </w:tr>
    </w:tbl>
    <w:p w14:paraId="7179D4BE">
      <w:pPr>
        <w:framePr w:wrap="auto" w:vAnchor="margin" w:hAnchor="text" w:yAlign="inline"/>
        <w:spacing w:line="360" w:lineRule="auto"/>
        <w:jc w:val="right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</w:pPr>
    </w:p>
    <w:p w14:paraId="32A20CA4">
      <w:pPr>
        <w:framePr w:wrap="auto" w:vAnchor="margin" w:hAnchor="text" w:yAlign="inline"/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  <w:t>联系人：</w:t>
      </w:r>
    </w:p>
    <w:p w14:paraId="02C62314">
      <w:pPr>
        <w:framePr w:wrap="auto" w:vAnchor="margin" w:hAnchor="text" w:yAlign="inline"/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  <w:t>联系电话：</w:t>
      </w:r>
    </w:p>
    <w:p w14:paraId="48BB2623">
      <w:pPr>
        <w:framePr w:wrap="auto" w:vAnchor="margin" w:hAnchor="text" w:yAlign="inline"/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  <w:t>报价单位：</w:t>
      </w:r>
    </w:p>
    <w:p w14:paraId="0BAD1A1A">
      <w:pPr>
        <w:framePr w:wrap="auto" w:vAnchor="margin" w:hAnchor="text" w:yAlign="inline"/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  <w:t>日期：</w:t>
      </w:r>
    </w:p>
    <w:p w14:paraId="32C8F398">
      <w:pPr>
        <w:framePr w:wrap="auto" w:vAnchor="margin" w:hAnchor="text" w:yAlign="inline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 w:bidi="ar-SA"/>
        </w:rPr>
        <w:br w:type="page"/>
      </w:r>
      <w:bookmarkStart w:id="11" w:name="_GoBack"/>
      <w:bookmarkEnd w:id="11"/>
    </w:p>
    <w:p w14:paraId="7BB4D8CA">
      <w:pPr>
        <w:framePr w:wrap="auto" w:vAnchor="margin" w:hAnchor="text" w:yAlign="inline"/>
        <w:widowControl w:val="0"/>
        <w:numPr>
          <w:ilvl w:val="-1"/>
          <w:numId w:val="0"/>
        </w:numPr>
        <w:wordWrap w:val="0"/>
        <w:topLinePunct/>
        <w:adjustRightInd w:val="0"/>
        <w:snapToGrid w:val="0"/>
        <w:spacing w:line="360" w:lineRule="auto"/>
        <w:jc w:val="center"/>
        <w:outlineLvl w:val="0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 w:bidi="ar-SA"/>
        </w:rPr>
        <w:t xml:space="preserve">第四部分 </w:t>
      </w:r>
      <w:r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/>
        </w:rPr>
        <w:t>评选办法</w:t>
      </w:r>
    </w:p>
    <w:p w14:paraId="043B8D88">
      <w:pPr>
        <w:framePr w:wrap="auto" w:vAnchor="margin" w:hAnchor="text" w:yAlign="inline"/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63ECD1CF">
      <w:pPr>
        <w:framePr w:wrap="auto" w:vAnchor="margin" w:hAnchor="text" w:yAlign="inline"/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本次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采购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采用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</w:p>
    <w:p w14:paraId="0323290B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☑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最低价成交法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 w14:paraId="18B2DBDA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1)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最低价成交法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，是指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文件满足竞价文件全部实质性要求，且报价最低的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响应人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为中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候选人的评标方法。</w:t>
      </w:r>
    </w:p>
    <w:p w14:paraId="09606E93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2)评选步骤：</w:t>
      </w:r>
    </w:p>
    <w:p w14:paraId="4FCB9FD5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①资格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符合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性审查：开标结束后，采购人或者采购代理机构应当依法对响应人的响应文件进行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资格符合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性审查，以确定其是否满足竞价文件的实质性要求。未通过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资格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符合性审查的响应人，不进入价格评审。</w:t>
      </w:r>
    </w:p>
    <w:p w14:paraId="4C91F67D">
      <w:pPr>
        <w:framePr w:wrap="auto" w:vAnchor="margin" w:hAnchor="text" w:yAlign="inline"/>
        <w:adjustRightInd w:val="0"/>
        <w:snapToGrid w:val="0"/>
        <w:spacing w:line="360" w:lineRule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③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价格评审：评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结果按报价由低到高顺序排列。报价相同的并列，中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候选人并列的，由采购人采取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随机抽取方式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确定中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人。</w:t>
      </w:r>
    </w:p>
    <w:p w14:paraId="3081A82B">
      <w:pPr>
        <w:framePr w:wrap="auto" w:vAnchor="margin" w:hAnchor="text" w:yAlign="inline"/>
        <w:adjustRightInd w:val="0"/>
        <w:snapToGrid w:val="0"/>
        <w:spacing w:line="360" w:lineRule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2、□综合评估法。具体标准如下：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/</w:t>
      </w:r>
    </w:p>
    <w:p w14:paraId="46938453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hint="default" w:ascii="宋体" w:hAnsi="宋体" w:eastAsia="宋体" w:cs="宋体"/>
          <w:b/>
          <w:bCs/>
          <w:color w:val="auto"/>
          <w:sz w:val="32"/>
          <w:szCs w:val="32"/>
        </w:rPr>
      </w:pPr>
    </w:p>
    <w:p w14:paraId="045D5DC1">
      <w:pPr>
        <w:pStyle w:val="3"/>
        <w:wordWrap w:val="0"/>
        <w:jc w:val="left"/>
        <w:rPr>
          <w:rFonts w:ascii="宋体" w:hAnsi="宋体" w:eastAsia="宋体" w:cs="宋体"/>
          <w:b/>
          <w:color w:val="auto"/>
          <w:szCs w:val="24"/>
          <w:lang w:eastAsia="zh-CN"/>
        </w:rPr>
        <w:sectPr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</w:p>
    <w:p w14:paraId="61729450">
      <w:pPr>
        <w:pStyle w:val="25"/>
        <w:framePr w:wrap="auto" w:vAnchor="margin" w:hAnchor="text" w:yAlign="inline"/>
        <w:adjustRightInd w:val="0"/>
        <w:snapToGrid w:val="0"/>
        <w:spacing w:line="360" w:lineRule="auto"/>
        <w:jc w:val="center"/>
        <w:outlineLvl w:val="0"/>
        <w:rPr>
          <w:rFonts w:hint="default" w:ascii="宋体" w:hAnsi="宋体" w:eastAsia="宋体" w:cs="宋体"/>
          <w:b/>
          <w:bCs/>
          <w:color w:val="auto"/>
          <w:sz w:val="32"/>
          <w:szCs w:val="32"/>
        </w:rPr>
      </w:pPr>
      <w:r>
        <w:rPr>
          <w:rFonts w:ascii="宋体" w:hAnsi="宋体" w:eastAsia="宋体" w:cs="宋体"/>
          <w:b/>
          <w:bCs/>
          <w:color w:val="auto"/>
          <w:sz w:val="32"/>
          <w:szCs w:val="32"/>
        </w:rPr>
        <w:t>第五部分 合同主要条款</w:t>
      </w:r>
    </w:p>
    <w:p w14:paraId="1D02D2C6">
      <w:pPr>
        <w:pStyle w:val="7"/>
        <w:framePr w:wrap="auto" w:vAnchor="margin" w:hAnchor="text" w:yAlign="inline"/>
        <w:spacing w:before="222" w:line="222" w:lineRule="auto"/>
        <w:rPr>
          <w:b/>
          <w:bCs/>
          <w:color w:val="auto"/>
          <w:spacing w:val="-9"/>
          <w:sz w:val="24"/>
          <w:szCs w:val="24"/>
        </w:rPr>
      </w:pPr>
    </w:p>
    <w:p w14:paraId="09C5557C">
      <w:pPr>
        <w:framePr w:wrap="auto" w:vAnchor="margin" w:hAnchor="text" w:yAlign="inline"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一.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租赁期限</w:t>
      </w:r>
    </w:p>
    <w:p w14:paraId="56371BE2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 一 ) 甲方自202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月起租用乙方设备至工程完工止，若实际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自卸汽车、洒水车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金额超过合同金额的5%,则乙方须向甲方书面申请签订补充协议，若没有签订补充协议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甲方有权拒绝支付超出原合同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自卸汽车、洒水车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费用，乙方不得以此为由向甲方主张付款违约的责任。</w:t>
      </w:r>
    </w:p>
    <w:p w14:paraId="6F150E7D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 二 ) 如甲方在租赁期满前因合理原因停止租用部分或全部设备，应提前3天书面通知乙方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租赁期限至甲方实际停止使用日止。若机械设备在租赁期限内未实际投入工程施工的，则未实际投入工程施工的期间不计入机械设备的租赁期限。</w:t>
      </w:r>
    </w:p>
    <w:p w14:paraId="02A05294">
      <w:pPr>
        <w:framePr w:wrap="auto" w:vAnchor="margin" w:hAnchor="text" w:yAlign="inline"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二.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 xml:space="preserve"> 租赁物的用途、使用地点及交付</w:t>
      </w:r>
    </w:p>
    <w:p w14:paraId="2A951C27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(一)租赁物用途：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惠东产业转移工业园鹏泰一路及鹏顺路一期道路工程项目</w:t>
      </w:r>
    </w:p>
    <w:p w14:paraId="63395370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(二)租赁物使用地点：惠东县</w:t>
      </w:r>
    </w:p>
    <w:p w14:paraId="04D1D88E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(三)乙方应在甲方指定时间将本合同约定的机械运送至使用地点，并按甲方要求和通知安排机械操作人员到场作业，甲方变更时间的，应提前书面通知乙方。</w:t>
      </w:r>
    </w:p>
    <w:p w14:paraId="4004178B">
      <w:pPr>
        <w:framePr w:wrap="auto" w:vAnchor="margin" w:hAnchor="text" w:yAlign="inline"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三.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租赁方式及所有权</w:t>
      </w:r>
    </w:p>
    <w:p w14:paraId="0D950893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(一) 租赁方式：本机械设备的租赁由乙方配备操作人员，负责设备的操作、管理和维护保养工作，相应费用已包含在合同单价中。  </w:t>
      </w:r>
    </w:p>
    <w:p w14:paraId="19B0A8D3">
      <w:pPr>
        <w:framePr w:wrap="auto" w:vAnchor="margin" w:hAnchor="text" w:yAlign="inline"/>
        <w:bidi w:val="0"/>
        <w:ind w:firstLine="560" w:firstLineChars="200"/>
        <w:rPr>
          <w:color w:val="auto"/>
          <w:sz w:val="30"/>
          <w:szCs w:val="30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(二) 租赁设备的所有权属于乙方，乙方应确保该设备功能正常且安全有效运行。</w:t>
      </w:r>
    </w:p>
    <w:p w14:paraId="2676C4C5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jc w:val="both"/>
        <w:rPr>
          <w:rFonts w:hint="default" w:ascii="宋体" w:hAnsi="宋体" w:eastAsia="宋体" w:cs="宋体"/>
          <w:color w:val="auto"/>
          <w:sz w:val="32"/>
          <w:szCs w:val="32"/>
        </w:rPr>
      </w:pPr>
    </w:p>
    <w:sectPr>
      <w:pgSz w:w="11900" w:h="16840"/>
      <w:pgMar w:top="1440" w:right="1803" w:bottom="1440" w:left="1803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B8C7FD">
    <w:pPr>
      <w:pStyle w:val="24"/>
      <w:framePr w:wrap="auto" w:vAnchor="margin" w:hAnchor="text" w:yAlign="inline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9A5474">
    <w:pPr>
      <w:pStyle w:val="24"/>
      <w:framePr w:wrap="auto" w:vAnchor="margin" w:hAnchor="text" w:yAlign="inline"/>
      <w:rPr>
        <w:rFonts w:hint="eastAsia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txbx>
                      <w:txbxContent>
                        <w:p w14:paraId="68448D88">
                          <w:pPr>
                            <w:pStyle w:val="1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32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15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3810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bjXUj0AAAAAUBAAAPAAAAAAAAAAEAIAAAACIAAABk&#10;cnMvZG93bnJldi54bWxQSwECFAAUAAAACACHTuJAKSHeA0cCAACIBAAADgAAAAAAAAABACAAAAAf&#10;AQAAZHJzL2Uyb0RvYy54bWxQSwUGAAAAAAYABgBZAQAA2AUAAAAA&#10;">
              <v:fill on="f" focussize="0,0"/>
              <v:stroke on="f" weight="1pt" miterlimit="4" joinstyle="miter"/>
              <v:imagedata o:title=""/>
              <o:lock v:ext="edit" aspectratio="f"/>
              <v:textbox inset="0mm,0mm,0mm,0mm" style="mso-fit-shape-to-text:t;">
                <w:txbxContent>
                  <w:p w14:paraId="68448D88">
                    <w:pPr>
                      <w:pStyle w:val="1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32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15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CF2E53">
    <w:pPr>
      <w:pStyle w:val="24"/>
      <w:framePr w:wrap="auto" w:vAnchor="margin" w:hAnchor="text" w:yAlign="inlin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1"/>
  <w:bordersDoNotSurroundFooter w:val="1"/>
  <w:documentProtection w:enforcement="0"/>
  <w:defaultTabStop w:val="4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cwNDdlYTI1OTFhMDMyZjIzNDQ4NGFmYzk0ZjJkYmQifQ=="/>
  </w:docVars>
  <w:rsids>
    <w:rsidRoot w:val="00172A27"/>
    <w:rsid w:val="00172A27"/>
    <w:rsid w:val="006A50FA"/>
    <w:rsid w:val="007326DF"/>
    <w:rsid w:val="007A2F1C"/>
    <w:rsid w:val="00A0552E"/>
    <w:rsid w:val="00B55AF9"/>
    <w:rsid w:val="00B8196E"/>
    <w:rsid w:val="00BC3D7B"/>
    <w:rsid w:val="00C309D2"/>
    <w:rsid w:val="00C9085C"/>
    <w:rsid w:val="00FA70CD"/>
    <w:rsid w:val="014C1F37"/>
    <w:rsid w:val="01765DE6"/>
    <w:rsid w:val="01D7087E"/>
    <w:rsid w:val="023A3A33"/>
    <w:rsid w:val="024300FB"/>
    <w:rsid w:val="024C15CF"/>
    <w:rsid w:val="02547825"/>
    <w:rsid w:val="02957566"/>
    <w:rsid w:val="02B14DC7"/>
    <w:rsid w:val="02C2004A"/>
    <w:rsid w:val="038672E8"/>
    <w:rsid w:val="03C2134C"/>
    <w:rsid w:val="043F299D"/>
    <w:rsid w:val="044B0E64"/>
    <w:rsid w:val="0491260D"/>
    <w:rsid w:val="049E7588"/>
    <w:rsid w:val="05623797"/>
    <w:rsid w:val="061D0A00"/>
    <w:rsid w:val="06304F9D"/>
    <w:rsid w:val="06415FBB"/>
    <w:rsid w:val="071A025A"/>
    <w:rsid w:val="07CD0348"/>
    <w:rsid w:val="07ED6D23"/>
    <w:rsid w:val="081F5B7A"/>
    <w:rsid w:val="0899642B"/>
    <w:rsid w:val="09116FB1"/>
    <w:rsid w:val="095A7CB3"/>
    <w:rsid w:val="098D00AD"/>
    <w:rsid w:val="09905A3D"/>
    <w:rsid w:val="099D1B83"/>
    <w:rsid w:val="09E6423A"/>
    <w:rsid w:val="0A0A4661"/>
    <w:rsid w:val="0A473A7B"/>
    <w:rsid w:val="0A9B78EE"/>
    <w:rsid w:val="0AA6363C"/>
    <w:rsid w:val="0B2B3E47"/>
    <w:rsid w:val="0B93489F"/>
    <w:rsid w:val="0BB37C4B"/>
    <w:rsid w:val="0BE81DF9"/>
    <w:rsid w:val="0C9A1D8E"/>
    <w:rsid w:val="0CC25F19"/>
    <w:rsid w:val="0D381DBD"/>
    <w:rsid w:val="0D9951E8"/>
    <w:rsid w:val="0DC363ED"/>
    <w:rsid w:val="0DCD36A9"/>
    <w:rsid w:val="0FD10218"/>
    <w:rsid w:val="0FD52CE0"/>
    <w:rsid w:val="0FD9253D"/>
    <w:rsid w:val="100D6828"/>
    <w:rsid w:val="10B218B8"/>
    <w:rsid w:val="11380CCB"/>
    <w:rsid w:val="11572C78"/>
    <w:rsid w:val="121C2EA6"/>
    <w:rsid w:val="15A136FE"/>
    <w:rsid w:val="15B07E81"/>
    <w:rsid w:val="168F20CE"/>
    <w:rsid w:val="16E516C6"/>
    <w:rsid w:val="17981E8F"/>
    <w:rsid w:val="18545074"/>
    <w:rsid w:val="19353213"/>
    <w:rsid w:val="19583322"/>
    <w:rsid w:val="1A5D7931"/>
    <w:rsid w:val="1A6957B2"/>
    <w:rsid w:val="1AD638BE"/>
    <w:rsid w:val="1B0150F1"/>
    <w:rsid w:val="1B1D3FD6"/>
    <w:rsid w:val="1B2C7B36"/>
    <w:rsid w:val="1BED1392"/>
    <w:rsid w:val="1BFB69C0"/>
    <w:rsid w:val="1C0F29B1"/>
    <w:rsid w:val="1C322BB7"/>
    <w:rsid w:val="1CBF1566"/>
    <w:rsid w:val="1CD95D24"/>
    <w:rsid w:val="1CF20A54"/>
    <w:rsid w:val="1CFF68B4"/>
    <w:rsid w:val="1DB23C0B"/>
    <w:rsid w:val="1F8F77FD"/>
    <w:rsid w:val="201062FC"/>
    <w:rsid w:val="205163BE"/>
    <w:rsid w:val="214C042B"/>
    <w:rsid w:val="21FD4113"/>
    <w:rsid w:val="22D00EB0"/>
    <w:rsid w:val="22F1606B"/>
    <w:rsid w:val="23AB43E8"/>
    <w:rsid w:val="245A088B"/>
    <w:rsid w:val="245F0C9E"/>
    <w:rsid w:val="24A006CC"/>
    <w:rsid w:val="24CA5E5B"/>
    <w:rsid w:val="24F400E6"/>
    <w:rsid w:val="24FA7756"/>
    <w:rsid w:val="24FB5CB3"/>
    <w:rsid w:val="27C50CF8"/>
    <w:rsid w:val="284E0260"/>
    <w:rsid w:val="28E7251D"/>
    <w:rsid w:val="29424D1B"/>
    <w:rsid w:val="294A72C5"/>
    <w:rsid w:val="29765334"/>
    <w:rsid w:val="299E3781"/>
    <w:rsid w:val="2A62642E"/>
    <w:rsid w:val="2AE904F0"/>
    <w:rsid w:val="2B774634"/>
    <w:rsid w:val="2CD302DD"/>
    <w:rsid w:val="2CFF41D5"/>
    <w:rsid w:val="2D2640D4"/>
    <w:rsid w:val="2DB7701A"/>
    <w:rsid w:val="2E046D43"/>
    <w:rsid w:val="2E39100B"/>
    <w:rsid w:val="2E4479CF"/>
    <w:rsid w:val="2EDA171C"/>
    <w:rsid w:val="2F690995"/>
    <w:rsid w:val="2FA03983"/>
    <w:rsid w:val="303C02D0"/>
    <w:rsid w:val="31820D34"/>
    <w:rsid w:val="31D1754E"/>
    <w:rsid w:val="320F2F73"/>
    <w:rsid w:val="322D042D"/>
    <w:rsid w:val="327E16D2"/>
    <w:rsid w:val="32801FE7"/>
    <w:rsid w:val="32FD030B"/>
    <w:rsid w:val="337404A1"/>
    <w:rsid w:val="33A81F17"/>
    <w:rsid w:val="340F04F3"/>
    <w:rsid w:val="350C24E3"/>
    <w:rsid w:val="350E5A19"/>
    <w:rsid w:val="3521428E"/>
    <w:rsid w:val="361F3BD3"/>
    <w:rsid w:val="36CC0C86"/>
    <w:rsid w:val="36E11002"/>
    <w:rsid w:val="370E04C5"/>
    <w:rsid w:val="372C4A22"/>
    <w:rsid w:val="37314A6B"/>
    <w:rsid w:val="38CD5385"/>
    <w:rsid w:val="3AB652D5"/>
    <w:rsid w:val="3AFB30DD"/>
    <w:rsid w:val="3B497155"/>
    <w:rsid w:val="3B9C1436"/>
    <w:rsid w:val="3BA75327"/>
    <w:rsid w:val="3C752336"/>
    <w:rsid w:val="3CC44F50"/>
    <w:rsid w:val="3DB15680"/>
    <w:rsid w:val="3E410621"/>
    <w:rsid w:val="3E772B72"/>
    <w:rsid w:val="3F5D3D7D"/>
    <w:rsid w:val="3FA10590"/>
    <w:rsid w:val="3FD87226"/>
    <w:rsid w:val="3FEA7A79"/>
    <w:rsid w:val="40A25D3E"/>
    <w:rsid w:val="40B05440"/>
    <w:rsid w:val="41000ED7"/>
    <w:rsid w:val="415A648B"/>
    <w:rsid w:val="420416B7"/>
    <w:rsid w:val="423A2EF4"/>
    <w:rsid w:val="42480BEE"/>
    <w:rsid w:val="42CD4900"/>
    <w:rsid w:val="43424C44"/>
    <w:rsid w:val="437D206C"/>
    <w:rsid w:val="43FA0692"/>
    <w:rsid w:val="44935E12"/>
    <w:rsid w:val="44E64193"/>
    <w:rsid w:val="451E2F5B"/>
    <w:rsid w:val="455436D3"/>
    <w:rsid w:val="45BA47D3"/>
    <w:rsid w:val="45F91D8D"/>
    <w:rsid w:val="46171F44"/>
    <w:rsid w:val="46C42F35"/>
    <w:rsid w:val="4703605D"/>
    <w:rsid w:val="479A3252"/>
    <w:rsid w:val="4885485B"/>
    <w:rsid w:val="49201734"/>
    <w:rsid w:val="493B5A4A"/>
    <w:rsid w:val="499C7517"/>
    <w:rsid w:val="4B1C6168"/>
    <w:rsid w:val="4B1E4D42"/>
    <w:rsid w:val="4B9A2838"/>
    <w:rsid w:val="4CB9722B"/>
    <w:rsid w:val="4D2F1B44"/>
    <w:rsid w:val="4D6D2823"/>
    <w:rsid w:val="4FCF1240"/>
    <w:rsid w:val="50324511"/>
    <w:rsid w:val="519F2ED6"/>
    <w:rsid w:val="51BD51B5"/>
    <w:rsid w:val="51EB08AF"/>
    <w:rsid w:val="51ED6353"/>
    <w:rsid w:val="52885F20"/>
    <w:rsid w:val="52BA21D8"/>
    <w:rsid w:val="535328CC"/>
    <w:rsid w:val="53CD3DB2"/>
    <w:rsid w:val="53D85B2C"/>
    <w:rsid w:val="53ED3F12"/>
    <w:rsid w:val="54153486"/>
    <w:rsid w:val="54921FFB"/>
    <w:rsid w:val="54C942CF"/>
    <w:rsid w:val="551014B3"/>
    <w:rsid w:val="555A7110"/>
    <w:rsid w:val="555E3C11"/>
    <w:rsid w:val="55BC370F"/>
    <w:rsid w:val="55D93423"/>
    <w:rsid w:val="56B8033A"/>
    <w:rsid w:val="57021FF1"/>
    <w:rsid w:val="570441D3"/>
    <w:rsid w:val="577578C4"/>
    <w:rsid w:val="57F5762F"/>
    <w:rsid w:val="58F51880"/>
    <w:rsid w:val="5A64198B"/>
    <w:rsid w:val="5AEC1D43"/>
    <w:rsid w:val="5B081D8F"/>
    <w:rsid w:val="5B841066"/>
    <w:rsid w:val="5B8F661B"/>
    <w:rsid w:val="5B9E224E"/>
    <w:rsid w:val="5BC06FB7"/>
    <w:rsid w:val="5BC3207D"/>
    <w:rsid w:val="5C8C126B"/>
    <w:rsid w:val="5CCD5552"/>
    <w:rsid w:val="5D1F68FE"/>
    <w:rsid w:val="5DE16107"/>
    <w:rsid w:val="5E0377E8"/>
    <w:rsid w:val="5E550C74"/>
    <w:rsid w:val="5E7774AE"/>
    <w:rsid w:val="5F304531"/>
    <w:rsid w:val="5FFD841A"/>
    <w:rsid w:val="605C5044"/>
    <w:rsid w:val="60F00564"/>
    <w:rsid w:val="60F811B6"/>
    <w:rsid w:val="619F5892"/>
    <w:rsid w:val="62C81DDF"/>
    <w:rsid w:val="63C52E4A"/>
    <w:rsid w:val="64343753"/>
    <w:rsid w:val="646B5AF4"/>
    <w:rsid w:val="655B557A"/>
    <w:rsid w:val="65750EF0"/>
    <w:rsid w:val="660A102C"/>
    <w:rsid w:val="662004A1"/>
    <w:rsid w:val="66DC2E14"/>
    <w:rsid w:val="6785318B"/>
    <w:rsid w:val="69445E7D"/>
    <w:rsid w:val="69A057C9"/>
    <w:rsid w:val="69A27515"/>
    <w:rsid w:val="69A311B6"/>
    <w:rsid w:val="69CF659F"/>
    <w:rsid w:val="6A1B123A"/>
    <w:rsid w:val="6A9A6851"/>
    <w:rsid w:val="6D903084"/>
    <w:rsid w:val="6D9429F2"/>
    <w:rsid w:val="6DA27FF8"/>
    <w:rsid w:val="6E5E03DA"/>
    <w:rsid w:val="6E6762FD"/>
    <w:rsid w:val="6EFF1E99"/>
    <w:rsid w:val="6F2E3518"/>
    <w:rsid w:val="6F5A1A2F"/>
    <w:rsid w:val="6FA32ACE"/>
    <w:rsid w:val="6FA80A40"/>
    <w:rsid w:val="701A4460"/>
    <w:rsid w:val="704259B1"/>
    <w:rsid w:val="70F63422"/>
    <w:rsid w:val="71524287"/>
    <w:rsid w:val="717F6CC2"/>
    <w:rsid w:val="71BF7E52"/>
    <w:rsid w:val="7265409A"/>
    <w:rsid w:val="730F67BB"/>
    <w:rsid w:val="73314959"/>
    <w:rsid w:val="73376ADC"/>
    <w:rsid w:val="74C302F2"/>
    <w:rsid w:val="750039F8"/>
    <w:rsid w:val="753E4CE6"/>
    <w:rsid w:val="756A3E1D"/>
    <w:rsid w:val="75B545B1"/>
    <w:rsid w:val="761476A2"/>
    <w:rsid w:val="76147BCB"/>
    <w:rsid w:val="7657546E"/>
    <w:rsid w:val="768F5040"/>
    <w:rsid w:val="76B55335"/>
    <w:rsid w:val="7889342D"/>
    <w:rsid w:val="789A2E8C"/>
    <w:rsid w:val="7908342F"/>
    <w:rsid w:val="79A11556"/>
    <w:rsid w:val="7A1C2C5E"/>
    <w:rsid w:val="7AE35C69"/>
    <w:rsid w:val="7B0E5932"/>
    <w:rsid w:val="7B5527F0"/>
    <w:rsid w:val="7B7FB21E"/>
    <w:rsid w:val="7B980434"/>
    <w:rsid w:val="7BA94AC9"/>
    <w:rsid w:val="7BB34D31"/>
    <w:rsid w:val="7BF179A9"/>
    <w:rsid w:val="7C37455E"/>
    <w:rsid w:val="7CA9041D"/>
    <w:rsid w:val="7D057841"/>
    <w:rsid w:val="7D4B110B"/>
    <w:rsid w:val="7FB8524F"/>
    <w:rsid w:val="7FDD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framePr w:wrap="around" w:vAnchor="margin" w:hAnchor="text" w:y="1"/>
    </w:pPr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eastAsia="方正小标宋简体"/>
      <w:bCs/>
      <w:kern w:val="44"/>
      <w:sz w:val="28"/>
      <w:szCs w:val="44"/>
    </w:rPr>
  </w:style>
  <w:style w:type="paragraph" w:styleId="3">
    <w:name w:val="heading 2"/>
    <w:basedOn w:val="1"/>
    <w:next w:val="1"/>
    <w:autoRedefine/>
    <w:unhideWhenUsed/>
    <w:qFormat/>
    <w:uiPriority w:val="9"/>
    <w:pPr>
      <w:keepNext/>
      <w:keepLines/>
      <w:spacing w:before="120" w:after="120"/>
      <w:jc w:val="center"/>
      <w:outlineLvl w:val="1"/>
    </w:pPr>
    <w:rPr>
      <w:rFonts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autoRedefine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autoRedefine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9">
    <w:name w:val="Default Paragraph Font"/>
    <w:autoRedefine/>
    <w:semiHidden/>
    <w:unhideWhenUsed/>
    <w:qFormat/>
    <w:uiPriority w:val="1"/>
  </w:style>
  <w:style w:type="table" w:default="1" w:styleId="1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autoRedefine/>
    <w:qFormat/>
    <w:uiPriority w:val="0"/>
  </w:style>
  <w:style w:type="paragraph" w:styleId="7">
    <w:name w:val="Body Text"/>
    <w:basedOn w:val="1"/>
    <w:autoRedefine/>
    <w:qFormat/>
    <w:uiPriority w:val="1"/>
    <w:rPr>
      <w:rFonts w:ascii="宋体" w:hAnsi="宋体" w:eastAsia="宋体" w:cs="宋体"/>
      <w:sz w:val="20"/>
      <w:szCs w:val="20"/>
      <w:lang w:val="zh-CN" w:eastAsia="zh-CN" w:bidi="zh-CN"/>
    </w:rPr>
  </w:style>
  <w:style w:type="paragraph" w:styleId="8">
    <w:name w:val="Body Text Indent"/>
    <w:basedOn w:val="1"/>
    <w:autoRedefine/>
    <w:qFormat/>
    <w:uiPriority w:val="0"/>
    <w:pPr>
      <w:spacing w:line="460" w:lineRule="exact"/>
      <w:ind w:firstLine="482" w:firstLineChars="200"/>
    </w:pPr>
    <w:rPr>
      <w:b/>
      <w:bCs/>
      <w:shd w:val="clear" w:color="auto" w:fill="CCCCCC"/>
    </w:rPr>
  </w:style>
  <w:style w:type="paragraph" w:styleId="9">
    <w:name w:val="Plain Text"/>
    <w:basedOn w:val="1"/>
    <w:autoRedefine/>
    <w:qFormat/>
    <w:uiPriority w:val="0"/>
    <w:rPr>
      <w:rFonts w:ascii="宋体" w:hAnsi="Courier New"/>
      <w:sz w:val="20"/>
    </w:rPr>
  </w:style>
  <w:style w:type="paragraph" w:styleId="10">
    <w:name w:val="Body Text Indent 2"/>
    <w:basedOn w:val="1"/>
    <w:next w:val="11"/>
    <w:autoRedefine/>
    <w:qFormat/>
    <w:uiPriority w:val="0"/>
    <w:pPr>
      <w:spacing w:after="120" w:line="480" w:lineRule="auto"/>
      <w:ind w:left="420" w:leftChars="200"/>
    </w:pPr>
    <w:rPr>
      <w:rFonts w:eastAsia="仿宋_GB2312"/>
      <w:sz w:val="32"/>
    </w:rPr>
  </w:style>
  <w:style w:type="paragraph" w:customStyle="1" w:styleId="11">
    <w:name w:val="z正文"/>
    <w:basedOn w:val="9"/>
    <w:autoRedefine/>
    <w:qFormat/>
    <w:uiPriority w:val="99"/>
    <w:pPr>
      <w:tabs>
        <w:tab w:val="left" w:pos="525"/>
      </w:tabs>
      <w:snapToGrid w:val="0"/>
      <w:spacing w:line="360" w:lineRule="auto"/>
    </w:pPr>
    <w:rPr>
      <w:rFonts w:hAnsi="宋体"/>
      <w:kern w:val="2"/>
      <w:sz w:val="24"/>
      <w:szCs w:val="20"/>
    </w:rPr>
  </w:style>
  <w:style w:type="paragraph" w:styleId="12">
    <w:name w:val="footer"/>
    <w:basedOn w:val="1"/>
    <w:link w:val="33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3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Indent 3"/>
    <w:basedOn w:val="1"/>
    <w:autoRedefine/>
    <w:qFormat/>
    <w:uiPriority w:val="0"/>
    <w:pPr>
      <w:spacing w:line="360" w:lineRule="auto"/>
      <w:ind w:firstLine="560" w:firstLineChars="200"/>
    </w:pPr>
    <w:rPr>
      <w:rFonts w:ascii="宋体" w:hAnsi="宋体"/>
      <w:sz w:val="28"/>
    </w:rPr>
  </w:style>
  <w:style w:type="paragraph" w:styleId="15">
    <w:name w:val="Normal (Web)"/>
    <w:basedOn w:val="1"/>
    <w:autoRedefine/>
    <w:qFormat/>
    <w:uiPriority w:val="0"/>
    <w:pPr>
      <w:spacing w:beforeAutospacing="1" w:afterAutospacing="1"/>
    </w:pPr>
    <w:rPr>
      <w:lang w:eastAsia="zh-CN"/>
    </w:rPr>
  </w:style>
  <w:style w:type="paragraph" w:styleId="16">
    <w:name w:val="Body Text First Indent 2"/>
    <w:basedOn w:val="8"/>
    <w:next w:val="10"/>
    <w:autoRedefine/>
    <w:qFormat/>
    <w:uiPriority w:val="0"/>
    <w:pPr>
      <w:spacing w:after="120" w:line="240" w:lineRule="auto"/>
      <w:ind w:left="420" w:leftChars="200" w:firstLine="420"/>
    </w:pPr>
    <w:rPr>
      <w:rFonts w:cs="宋体"/>
      <w:sz w:val="21"/>
      <w:szCs w:val="21"/>
    </w:rPr>
  </w:style>
  <w:style w:type="table" w:styleId="18">
    <w:name w:val="Table Grid"/>
    <w:basedOn w:val="1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autoRedefine/>
    <w:qFormat/>
    <w:uiPriority w:val="0"/>
    <w:rPr>
      <w:b/>
    </w:rPr>
  </w:style>
  <w:style w:type="character" w:styleId="21">
    <w:name w:val="Hyperlink"/>
    <w:autoRedefine/>
    <w:qFormat/>
    <w:uiPriority w:val="0"/>
    <w:rPr>
      <w:u w:val="single"/>
    </w:rPr>
  </w:style>
  <w:style w:type="paragraph" w:customStyle="1" w:styleId="22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table" w:customStyle="1" w:styleId="23">
    <w:name w:val="Table Normal"/>
    <w:autoRedefine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4">
    <w:name w:val="页眉与页脚"/>
    <w:autoRedefine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Arial Unicode MS"/>
      <w:color w:val="000000"/>
      <w:sz w:val="24"/>
      <w:szCs w:val="24"/>
      <w:lang w:val="en-US" w:eastAsia="zh-CN" w:bidi="ar-SA"/>
    </w:rPr>
  </w:style>
  <w:style w:type="paragraph" w:customStyle="1" w:styleId="25">
    <w:name w:val="正文 A"/>
    <w:autoRedefine/>
    <w:qFormat/>
    <w:uiPriority w:val="0"/>
    <w:pPr>
      <w:framePr w:wrap="around" w:vAnchor="margin" w:hAnchor="text" w:y="1"/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26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7">
    <w:name w:val="Normal_141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28">
    <w:name w:val="样式 标题 2 + Times New Roman 四号 非加粗 段前: 5 磅 段后: 0 磅 行距: 固定值 20..."/>
    <w:basedOn w:val="3"/>
    <w:autoRedefine/>
    <w:qFormat/>
    <w:uiPriority w:val="0"/>
    <w:pPr>
      <w:spacing w:before="100" w:after="0" w:line="400" w:lineRule="exact"/>
    </w:pPr>
    <w:rPr>
      <w:rFonts w:ascii="Times New Roman" w:hAnsi="Times New Roman" w:cs="宋体"/>
      <w:bCs w:val="0"/>
      <w:sz w:val="28"/>
      <w:szCs w:val="20"/>
    </w:rPr>
  </w:style>
  <w:style w:type="character" w:customStyle="1" w:styleId="29">
    <w:name w:val="font41"/>
    <w:basedOn w:val="19"/>
    <w:autoRedefine/>
    <w:qFormat/>
    <w:uiPriority w:val="0"/>
    <w:rPr>
      <w:rFonts w:ascii="黑体" w:hAnsi="宋体" w:eastAsia="黑体" w:cs="黑体"/>
      <w:b/>
      <w:color w:val="000000"/>
      <w:sz w:val="21"/>
      <w:szCs w:val="21"/>
      <w:u w:val="none"/>
    </w:rPr>
  </w:style>
  <w:style w:type="paragraph" w:customStyle="1" w:styleId="30">
    <w:name w:val="Table Paragraph"/>
    <w:basedOn w:val="1"/>
    <w:autoRedefine/>
    <w:qFormat/>
    <w:uiPriority w:val="1"/>
    <w:rPr>
      <w:rFonts w:ascii="宋体" w:hAnsi="宋体" w:eastAsia="宋体" w:cs="宋体"/>
      <w:lang w:val="zh-CN" w:eastAsia="zh-CN" w:bidi="zh-CN"/>
    </w:rPr>
  </w:style>
  <w:style w:type="character" w:customStyle="1" w:styleId="31">
    <w:name w:val="font81"/>
    <w:basedOn w:val="19"/>
    <w:autoRedefine/>
    <w:qFormat/>
    <w:uiPriority w:val="0"/>
    <w:rPr>
      <w:rFonts w:hint="default" w:ascii="Calibri" w:hAnsi="Calibri" w:cs="Calibri"/>
      <w:color w:val="000000"/>
      <w:sz w:val="18"/>
      <w:szCs w:val="18"/>
      <w:u w:val="none"/>
    </w:rPr>
  </w:style>
  <w:style w:type="character" w:customStyle="1" w:styleId="32">
    <w:name w:val="页眉 字符"/>
    <w:basedOn w:val="19"/>
    <w:link w:val="13"/>
    <w:autoRedefine/>
    <w:qFormat/>
    <w:uiPriority w:val="0"/>
    <w:rPr>
      <w:rFonts w:eastAsia="Arial Unicode MS"/>
      <w:sz w:val="18"/>
      <w:szCs w:val="18"/>
      <w:lang w:eastAsia="en-US"/>
    </w:rPr>
  </w:style>
  <w:style w:type="character" w:customStyle="1" w:styleId="33">
    <w:name w:val="页脚 字符"/>
    <w:basedOn w:val="19"/>
    <w:link w:val="12"/>
    <w:autoRedefine/>
    <w:qFormat/>
    <w:uiPriority w:val="0"/>
    <w:rPr>
      <w:rFonts w:eastAsia="Arial Unicode MS"/>
      <w:sz w:val="18"/>
      <w:szCs w:val="18"/>
      <w:lang w:eastAsia="en-US"/>
    </w:rPr>
  </w:style>
  <w:style w:type="paragraph" w:customStyle="1" w:styleId="34">
    <w:name w:val="Other|1"/>
    <w:basedOn w:val="1"/>
    <w:autoRedefine/>
    <w:qFormat/>
    <w:uiPriority w:val="0"/>
    <w:pPr>
      <w:widowControl w:val="0"/>
      <w:shd w:val="clear" w:color="auto" w:fill="auto"/>
      <w:spacing w:after="180"/>
      <w:ind w:firstLine="140"/>
    </w:pPr>
    <w:rPr>
      <w:rFonts w:ascii="宋体" w:hAnsi="宋体" w:eastAsia="宋体" w:cs="宋体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35">
    <w:name w:val="图"/>
    <w:basedOn w:val="1"/>
    <w:autoRedefine/>
    <w:unhideWhenUsed/>
    <w:qFormat/>
    <w:uiPriority w:val="0"/>
    <w:pPr>
      <w:keepNext/>
      <w:autoSpaceDE/>
      <w:autoSpaceDN/>
      <w:spacing w:before="60" w:beforeLines="0" w:after="60" w:afterLines="0" w:line="300" w:lineRule="auto"/>
      <w:jc w:val="center"/>
      <w:textAlignment w:val="center"/>
    </w:pPr>
    <w:rPr>
      <w:rFonts w:hint="default"/>
      <w:snapToGrid w:val="0"/>
      <w:spacing w:val="20"/>
      <w:sz w:val="24"/>
      <w:szCs w:val="21"/>
    </w:rPr>
  </w:style>
  <w:style w:type="paragraph" w:customStyle="1" w:styleId="36">
    <w:name w:val="Table Text"/>
    <w:basedOn w:val="1"/>
    <w:autoRedefine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3751</Words>
  <Characters>3948</Characters>
  <Lines>44</Lines>
  <Paragraphs>12</Paragraphs>
  <TotalTime>1</TotalTime>
  <ScaleCrop>false</ScaleCrop>
  <LinksUpToDate>false</LinksUpToDate>
  <CharactersWithSpaces>4229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2021-03-10T17:33:00Z</dcterms:created>
  <dc:creator>IBM</dc:creator>
  <cp:lastModifiedBy>WPS_1734938428</cp:lastModifiedBy>
  <cp:lastPrinted>2024-09-27T06:51:00Z</cp:lastPrinted>
  <dcterms:modified xsi:type="dcterms:W3CDTF">2025-03-12T07:07:49Z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F58207208E724EFFA2ED56F3C3DBD8AB_13</vt:lpwstr>
  </property>
  <property fmtid="{D5CDD505-2E9C-101B-9397-08002B2CF9AE}" pid="4" name="commondata">
    <vt:lpwstr>eyJoZGlkIjoiYjJkZmE2OTBmZTMyMzA3ODFhOGJmNmE3MTVmOWE3YWEifQ==</vt:lpwstr>
  </property>
  <property fmtid="{D5CDD505-2E9C-101B-9397-08002B2CF9AE}" pid="5" name="KSOTemplateDocerSaveRecord">
    <vt:lpwstr>eyJoZGlkIjoiYTU4MzI5ZGY5YzA4OTc0ZjQ2NTg5MDAzNThiNWYzYjEiLCJ1c2VySWQiOiIxNjY4MjkxOTUwIn0=</vt:lpwstr>
  </property>
</Properties>
</file>