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56"/>
          <w:szCs w:val="56"/>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r>
        <w:rPr>
          <w:rFonts w:hint="eastAsia" w:ascii="宋体" w:hAnsi="宋体" w:eastAsia="宋体" w:cs="宋体"/>
          <w:b/>
          <w:color w:val="auto"/>
          <w:kern w:val="0"/>
          <w:sz w:val="44"/>
          <w:szCs w:val="44"/>
          <w:highlight w:val="none"/>
          <w:u w:val="none"/>
          <w:lang w:val="en-US" w:eastAsia="zh-CN"/>
        </w:rPr>
        <w:t>惠州市双月湾美丽海湾建设项目施工</w:t>
      </w:r>
    </w:p>
    <w:p w14:paraId="456DBC29">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r>
        <w:rPr>
          <w:rFonts w:hint="eastAsia" w:ascii="宋体" w:hAnsi="宋体" w:eastAsia="宋体" w:cs="宋体"/>
          <w:b/>
          <w:color w:val="auto"/>
          <w:kern w:val="0"/>
          <w:sz w:val="44"/>
          <w:szCs w:val="44"/>
          <w:highlight w:val="none"/>
          <w:u w:val="none"/>
          <w:lang w:val="en-US" w:eastAsia="zh-CN"/>
        </w:rPr>
        <w:t>（编号04号）砂、石料</w:t>
      </w:r>
    </w:p>
    <w:p w14:paraId="75F5232A">
      <w:pPr>
        <w:widowControl w:val="0"/>
        <w:wordWrap w:val="0"/>
        <w:spacing w:line="288" w:lineRule="auto"/>
        <w:jc w:val="center"/>
        <w:rPr>
          <w:rFonts w:hint="eastAsia" w:ascii="宋体" w:hAnsi="宋体" w:eastAsia="宋体" w:cs="宋体"/>
          <w:b/>
          <w:color w:val="auto"/>
          <w:kern w:val="0"/>
          <w:sz w:val="44"/>
          <w:szCs w:val="44"/>
          <w:highlight w:val="none"/>
          <w:u w:val="none"/>
          <w:lang w:eastAsia="zh-CN"/>
        </w:rPr>
      </w:pPr>
      <w:r>
        <w:rPr>
          <w:rFonts w:hint="eastAsia" w:ascii="宋体" w:hAnsi="宋体" w:eastAsia="宋体" w:cs="宋体"/>
          <w:b/>
          <w:color w:val="auto"/>
          <w:kern w:val="0"/>
          <w:sz w:val="44"/>
          <w:szCs w:val="44"/>
          <w:highlight w:val="none"/>
          <w:u w:val="none"/>
          <w:lang w:val="en-US" w:eastAsia="zh-CN"/>
        </w:rPr>
        <w:t>竞价</w:t>
      </w:r>
      <w:r>
        <w:rPr>
          <w:rFonts w:hint="eastAsia" w:ascii="宋体" w:hAnsi="宋体" w:eastAsia="宋体" w:cs="宋体"/>
          <w:b/>
          <w:color w:val="auto"/>
          <w:kern w:val="0"/>
          <w:sz w:val="44"/>
          <w:szCs w:val="44"/>
          <w:highlight w:val="none"/>
          <w:u w:val="none"/>
          <w:lang w:eastAsia="zh-CN"/>
        </w:rPr>
        <w:t>文件</w:t>
      </w:r>
    </w:p>
    <w:p w14:paraId="4B3D5EDE">
      <w:pPr>
        <w:widowControl w:val="0"/>
        <w:wordWrap w:val="0"/>
        <w:spacing w:line="288" w:lineRule="auto"/>
        <w:ind w:firstLine="720" w:firstLineChars="200"/>
        <w:jc w:val="both"/>
        <w:rPr>
          <w:rFonts w:hint="eastAsia" w:ascii="宋体" w:hAnsi="宋体" w:eastAsia="宋体" w:cs="宋体"/>
          <w:color w:val="auto"/>
          <w:kern w:val="0"/>
          <w:sz w:val="36"/>
          <w:szCs w:val="36"/>
          <w:highlight w:val="none"/>
          <w:lang w:eastAsia="zh-CN"/>
        </w:rPr>
      </w:pPr>
    </w:p>
    <w:p w14:paraId="4B751C6E">
      <w:pPr>
        <w:widowControl w:val="0"/>
        <w:wordWrap w:val="0"/>
        <w:spacing w:line="288" w:lineRule="auto"/>
        <w:ind w:firstLine="720" w:firstLineChars="200"/>
        <w:jc w:val="both"/>
        <w:rPr>
          <w:rFonts w:hint="eastAsia" w:ascii="宋体" w:hAnsi="宋体" w:eastAsia="宋体" w:cs="宋体"/>
          <w:color w:val="auto"/>
          <w:kern w:val="0"/>
          <w:sz w:val="36"/>
          <w:szCs w:val="36"/>
          <w:highlight w:val="none"/>
          <w:lang w:eastAsia="zh-CN"/>
        </w:rPr>
      </w:pPr>
    </w:p>
    <w:p w14:paraId="2F3F4CE3">
      <w:pPr>
        <w:spacing w:line="560" w:lineRule="exact"/>
        <w:ind w:firstLine="561"/>
        <w:rPr>
          <w:rFonts w:hint="eastAsia" w:ascii="宋体" w:hAnsi="宋体" w:eastAsia="宋体" w:cs="宋体"/>
          <w:color w:val="auto"/>
          <w:sz w:val="36"/>
          <w:szCs w:val="36"/>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6"/>
          <w:szCs w:val="36"/>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36"/>
          <w:szCs w:val="36"/>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2025年10月28日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bookmarkStart w:id="21" w:name="_GoBack"/>
      <w:bookmarkEnd w:id="21"/>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2D21037">
      <w:pPr>
        <w:keepNext w:val="0"/>
        <w:keepLines w:val="0"/>
        <w:pageBreakBefore w:val="0"/>
        <w:widowControl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bookmarkStart w:id="1" w:name="_Toc144974496"/>
      <w:bookmarkStart w:id="2" w:name="_Toc500491903"/>
      <w:bookmarkStart w:id="3" w:name="_Toc31806"/>
      <w:bookmarkStart w:id="4" w:name="_Toc229646710"/>
      <w:bookmarkStart w:id="5" w:name="_Toc16780"/>
      <w:bookmarkStart w:id="6" w:name="_Toc392345907"/>
      <w:bookmarkStart w:id="7" w:name="_Toc152042304"/>
      <w:bookmarkStart w:id="8" w:name="_Toc7164"/>
      <w:bookmarkStart w:id="9" w:name="_Toc21380"/>
      <w:bookmarkStart w:id="10" w:name="_Toc16761"/>
      <w:bookmarkStart w:id="11" w:name="_Toc152045528"/>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）的委托，诚邀国内合格参选人就惠州市双月湾美丽海湾建设项目施工（编号04号）砂、石料</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6399B4DC">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2B8DEDE3">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本项目位于惠州市惠东县港口滨海旅游度假区内，本次工程范围包括(一)海湾环境综合整治工程，对双月湾西侧进行海湾环境综合整治，整治长度约为943m；(二)入海排污口整治工程，分为东岸和西岸，共布设污水管道4542m，雨水沟673m，其中在内港西岸预计建设 DN300 污水支次管网约1844m，DN500 污水主管589m，Ф1000检查井77个，Ф1000 沉泥井 12个；在内港东岸预计建设 DN300mm污水支次管约2109m，Ф1000检查井 82个，Ф1000沉泥井5个，700x700方形检查井53个：(具体施工内容以招标人提供的施工图及工程量清单为准)。</w:t>
      </w:r>
    </w:p>
    <w:p w14:paraId="0A5EC38C">
      <w:pPr>
        <w:pStyle w:val="8"/>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4140DF0C">
      <w:pPr>
        <w:pStyle w:val="8"/>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承包人现场施工所需的砂、石料</w:t>
      </w:r>
    </w:p>
    <w:p w14:paraId="537480C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eastAsia="en-US"/>
        </w:rPr>
        <w:t>三、</w:t>
      </w:r>
      <w:r>
        <w:rPr>
          <w:rFonts w:hint="eastAsia" w:ascii="宋体" w:hAnsi="宋体" w:eastAsia="宋体" w:cs="宋体"/>
          <w:b/>
          <w:i w:val="0"/>
          <w:iCs w:val="0"/>
          <w:caps w:val="0"/>
          <w:color w:val="auto"/>
          <w:spacing w:val="0"/>
          <w:sz w:val="28"/>
          <w:szCs w:val="28"/>
          <w:highlight w:val="none"/>
          <w:u w:val="none"/>
          <w:shd w:val="clear" w:fill="FFFFFF"/>
          <w:lang w:eastAsia="zh-CN"/>
        </w:rPr>
        <w:t>参选人</w:t>
      </w:r>
      <w:r>
        <w:rPr>
          <w:rFonts w:hint="eastAsia" w:ascii="宋体" w:hAnsi="宋体" w:eastAsia="宋体" w:cs="宋体"/>
          <w:b/>
          <w:i w:val="0"/>
          <w:iCs w:val="0"/>
          <w:caps w:val="0"/>
          <w:color w:val="auto"/>
          <w:spacing w:val="0"/>
          <w:sz w:val="28"/>
          <w:szCs w:val="28"/>
          <w:highlight w:val="none"/>
          <w:u w:val="none"/>
          <w:shd w:val="clear" w:fill="FFFFFF"/>
          <w:lang w:eastAsia="en-US"/>
        </w:rPr>
        <w:t>资格要求</w:t>
      </w:r>
    </w:p>
    <w:p w14:paraId="0516871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22287D0">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418B91E3">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7E624360">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3F683A41">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6B5EDCFD">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single" w:color="auto"/>
        </w:rPr>
        <w:t>件递交的截止时间</w:t>
      </w:r>
      <w:r>
        <w:rPr>
          <w:rFonts w:hint="eastAsia" w:ascii="宋体" w:hAnsi="宋体" w:eastAsia="宋体" w:cs="宋体"/>
          <w:color w:val="auto"/>
          <w:sz w:val="28"/>
          <w:szCs w:val="28"/>
          <w:highlight w:val="none"/>
          <w:u w:val="single" w:color="auto"/>
          <w:lang w:eastAsia="zh-CN"/>
        </w:rPr>
        <w:t>：2025年11月3日12:00。</w:t>
      </w:r>
    </w:p>
    <w:p w14:paraId="3A816B3A">
      <w:pPr>
        <w:framePr w:wrap="around" w:vAnchor="margin" w:hAnchor="page" w:x="1358" w:y="1"/>
        <w:widowControl/>
        <w:jc w:val="left"/>
        <w:rPr>
          <w:rFonts w:ascii="Times New Roman" w:hAnsi="Times New Roman" w:eastAsia="Arial Unicode MS" w:cs="Times New Roman"/>
          <w:kern w:val="0"/>
          <w:sz w:val="24"/>
          <w:lang w:eastAsia="en-US"/>
        </w:rPr>
      </w:pPr>
    </w:p>
    <w:p w14:paraId="3640B882">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040406FF">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6982B21">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E8C7AFB">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695D644">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6BD855C">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公告发布时间：2025年10月28日</w:t>
      </w:r>
    </w:p>
    <w:p w14:paraId="687C0335">
      <w:pPr>
        <w:widowControl/>
        <w:jc w:val="left"/>
        <w:rPr>
          <w:rFonts w:hint="eastAsia" w:ascii="宋体" w:hAnsi="宋体" w:eastAsia="宋体" w:cs="宋体"/>
          <w:b/>
          <w:bCs/>
          <w:color w:val="auto"/>
          <w:kern w:val="0"/>
          <w:sz w:val="32"/>
          <w:szCs w:val="32"/>
          <w:highlight w:val="none"/>
          <w:lang w:val="zh-TW" w:eastAsia="zh-TW"/>
        </w:rPr>
      </w:pPr>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10"/>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29"/>
        <w:gridCol w:w="5942"/>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0"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9"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1"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0"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9"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0"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9"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惠州市双月湾美丽海湾建设项目施工（编号04号）砂、石料</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0"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9"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承包人现场施工所需的砂、石料</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0"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9"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11月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8"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19"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9" w:type="pct"/>
            <w:noWrap w:val="0"/>
            <w:vAlign w:val="center"/>
          </w:tcPr>
          <w:p w14:paraId="6E3A56F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4"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19"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9"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19"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9"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19"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9"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19"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9"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19"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9"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2025年11月3日12:00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19"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9"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19"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9"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19"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9"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19"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9"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19"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9"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19"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9"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19"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9"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19"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9"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19"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9"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19"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9"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19"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9"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19"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9"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19"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9"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19"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9"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19"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9"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19"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9"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19"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9"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惠州市双月湾美丽海湾建设项目施工（编号04号）砂、石料</w:t>
      </w:r>
    </w:p>
    <w:tbl>
      <w:tblPr>
        <w:tblStyle w:val="10"/>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58F89EA1">
      <w:pPr>
        <w:rPr>
          <w:rFonts w:hint="eastAsia" w:ascii="宋体" w:hAnsi="宋体" w:eastAsia="宋体" w:cs="宋体"/>
          <w:color w:val="auto"/>
          <w:sz w:val="20"/>
          <w:szCs w:val="20"/>
          <w:highlight w:val="none"/>
          <w:lang w:eastAsia="zh-CN"/>
        </w:rPr>
      </w:pPr>
    </w:p>
    <w:tbl>
      <w:tblPr>
        <w:tblW w:w="98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624"/>
        <w:gridCol w:w="1754"/>
        <w:gridCol w:w="1028"/>
        <w:gridCol w:w="1499"/>
        <w:gridCol w:w="1497"/>
        <w:gridCol w:w="1639"/>
        <w:gridCol w:w="1535"/>
      </w:tblGrid>
      <w:tr w14:paraId="49725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84" w:hRule="atLeast"/>
          <w:jc w:val="center"/>
        </w:trPr>
        <w:tc>
          <w:tcPr>
            <w:tcW w:w="9800" w:type="dxa"/>
            <w:gridSpan w:val="7"/>
            <w:tcBorders>
              <w:top w:val="nil"/>
              <w:left w:val="nil"/>
              <w:bottom w:val="nil"/>
              <w:right w:val="nil"/>
            </w:tcBorders>
            <w:shd w:val="clear"/>
            <w:noWrap/>
            <w:vAlign w:val="center"/>
          </w:tcPr>
          <w:p w14:paraId="4A19C891">
            <w:pPr>
              <w:keepNext w:val="0"/>
              <w:keepLines w:val="0"/>
              <w:widowControl/>
              <w:suppressLineNumbers w:val="0"/>
              <w:jc w:val="center"/>
              <w:textAlignment w:val="center"/>
              <w:rPr>
                <w:rFonts w:ascii="仿宋" w:hAnsi="仿宋" w:eastAsia="仿宋" w:cs="仿宋"/>
                <w:b/>
                <w:bCs/>
                <w:i w:val="0"/>
                <w:iCs w:val="0"/>
                <w:color w:val="000000"/>
                <w:sz w:val="44"/>
                <w:szCs w:val="44"/>
                <w:u w:val="none"/>
              </w:rPr>
            </w:pPr>
            <w:r>
              <w:rPr>
                <w:rFonts w:hint="eastAsia" w:ascii="仿宋" w:hAnsi="仿宋" w:eastAsia="仿宋" w:cs="仿宋"/>
                <w:b/>
                <w:bCs/>
                <w:i w:val="0"/>
                <w:iCs w:val="0"/>
                <w:color w:val="000000"/>
                <w:kern w:val="0"/>
                <w:sz w:val="44"/>
                <w:szCs w:val="44"/>
                <w:u w:val="none"/>
                <w:bdr w:val="none" w:color="auto" w:sz="0" w:space="0"/>
                <w:lang w:val="en-US" w:eastAsia="zh-CN" w:bidi="ar"/>
              </w:rPr>
              <w:t>砂、石报价清单</w:t>
            </w:r>
          </w:p>
        </w:tc>
      </w:tr>
      <w:tr w14:paraId="36B41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jc w:val="center"/>
        </w:trPr>
        <w:tc>
          <w:tcPr>
            <w:tcW w:w="0" w:type="auto"/>
            <w:gridSpan w:val="7"/>
            <w:tcBorders>
              <w:top w:val="nil"/>
              <w:left w:val="nil"/>
              <w:bottom w:val="nil"/>
              <w:right w:val="nil"/>
            </w:tcBorders>
            <w:shd w:val="clear"/>
            <w:noWrap/>
            <w:vAlign w:val="center"/>
          </w:tcPr>
          <w:p w14:paraId="4BDD3BF9">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报价单价：                                             日期：   年  月  日</w:t>
            </w:r>
          </w:p>
        </w:tc>
      </w:tr>
      <w:tr w14:paraId="6D3EA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jc w:val="center"/>
        </w:trPr>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644521D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材料名称</w:t>
            </w:r>
          </w:p>
        </w:tc>
        <w:tc>
          <w:tcPr>
            <w:tcW w:w="1625" w:type="dxa"/>
            <w:vMerge w:val="restart"/>
            <w:tcBorders>
              <w:top w:val="single" w:color="000000" w:sz="4" w:space="0"/>
              <w:left w:val="single" w:color="000000" w:sz="4" w:space="0"/>
              <w:bottom w:val="single" w:color="000000" w:sz="4" w:space="0"/>
              <w:right w:val="single" w:color="000000" w:sz="4" w:space="0"/>
            </w:tcBorders>
            <w:shd w:val="clear"/>
            <w:vAlign w:val="center"/>
          </w:tcPr>
          <w:p w14:paraId="403B133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规格</w:t>
            </w:r>
          </w:p>
        </w:tc>
        <w:tc>
          <w:tcPr>
            <w:tcW w:w="953" w:type="dxa"/>
            <w:vMerge w:val="restart"/>
            <w:tcBorders>
              <w:top w:val="single" w:color="000000" w:sz="4" w:space="0"/>
              <w:left w:val="single" w:color="000000" w:sz="4" w:space="0"/>
              <w:bottom w:val="single" w:color="000000" w:sz="4" w:space="0"/>
              <w:right w:val="single" w:color="000000" w:sz="4" w:space="0"/>
            </w:tcBorders>
            <w:shd w:val="clear"/>
            <w:vAlign w:val="center"/>
          </w:tcPr>
          <w:p w14:paraId="4FCB0D0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单位</w:t>
            </w:r>
          </w:p>
        </w:tc>
        <w:tc>
          <w:tcPr>
            <w:tcW w:w="1389" w:type="dxa"/>
            <w:vMerge w:val="restart"/>
            <w:tcBorders>
              <w:top w:val="single" w:color="000000" w:sz="4" w:space="0"/>
              <w:left w:val="single" w:color="000000" w:sz="4" w:space="0"/>
              <w:bottom w:val="single" w:color="000000" w:sz="4" w:space="0"/>
              <w:right w:val="single" w:color="000000" w:sz="4" w:space="0"/>
            </w:tcBorders>
            <w:shd w:val="clear"/>
            <w:vAlign w:val="center"/>
          </w:tcPr>
          <w:p w14:paraId="573382B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数量</w:t>
            </w:r>
          </w:p>
        </w:tc>
        <w:tc>
          <w:tcPr>
            <w:tcW w:w="2906" w:type="dxa"/>
            <w:gridSpan w:val="2"/>
            <w:tcBorders>
              <w:top w:val="single" w:color="000000" w:sz="4" w:space="0"/>
              <w:left w:val="single" w:color="000000" w:sz="4" w:space="0"/>
              <w:bottom w:val="single" w:color="000000" w:sz="4" w:space="0"/>
              <w:right w:val="single" w:color="000000" w:sz="4" w:space="0"/>
            </w:tcBorders>
            <w:shd w:val="clear"/>
            <w:vAlign w:val="center"/>
          </w:tcPr>
          <w:p w14:paraId="7313AA5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不含增值税金额（元）</w:t>
            </w:r>
          </w:p>
        </w:tc>
        <w:tc>
          <w:tcPr>
            <w:tcW w:w="1422" w:type="dxa"/>
            <w:vMerge w:val="restart"/>
            <w:tcBorders>
              <w:top w:val="single" w:color="000000" w:sz="4" w:space="0"/>
              <w:left w:val="single" w:color="000000" w:sz="4" w:space="0"/>
              <w:bottom w:val="single" w:color="000000" w:sz="4" w:space="0"/>
              <w:right w:val="single" w:color="000000" w:sz="4" w:space="0"/>
            </w:tcBorders>
            <w:shd w:val="clear"/>
            <w:vAlign w:val="center"/>
          </w:tcPr>
          <w:p w14:paraId="732833A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备注</w:t>
            </w:r>
          </w:p>
        </w:tc>
      </w:tr>
      <w:tr w14:paraId="77E72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16E4E80">
            <w:pPr>
              <w:jc w:val="center"/>
              <w:rPr>
                <w:rFonts w:hint="eastAsia" w:ascii="仿宋" w:hAnsi="仿宋" w:eastAsia="仿宋" w:cs="仿宋"/>
                <w:i w:val="0"/>
                <w:iCs w:val="0"/>
                <w:color w:val="000000"/>
                <w:sz w:val="28"/>
                <w:szCs w:val="28"/>
                <w:u w:val="none"/>
              </w:rPr>
            </w:pPr>
          </w:p>
        </w:tc>
        <w:tc>
          <w:tcPr>
            <w:tcW w:w="162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7818347">
            <w:pPr>
              <w:jc w:val="center"/>
              <w:rPr>
                <w:rFonts w:hint="eastAsia" w:ascii="仿宋" w:hAnsi="仿宋" w:eastAsia="仿宋" w:cs="仿宋"/>
                <w:i w:val="0"/>
                <w:iCs w:val="0"/>
                <w:color w:val="000000"/>
                <w:sz w:val="28"/>
                <w:szCs w:val="28"/>
                <w:u w:val="none"/>
              </w:rPr>
            </w:pPr>
          </w:p>
        </w:tc>
        <w:tc>
          <w:tcPr>
            <w:tcW w:w="95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71AA7DA">
            <w:pPr>
              <w:jc w:val="center"/>
              <w:rPr>
                <w:rFonts w:hint="eastAsia" w:ascii="仿宋" w:hAnsi="仿宋" w:eastAsia="仿宋" w:cs="仿宋"/>
                <w:i w:val="0"/>
                <w:iCs w:val="0"/>
                <w:color w:val="000000"/>
                <w:sz w:val="28"/>
                <w:szCs w:val="28"/>
                <w:u w:val="none"/>
              </w:rPr>
            </w:pPr>
          </w:p>
        </w:tc>
        <w:tc>
          <w:tcPr>
            <w:tcW w:w="138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A9526A2">
            <w:pPr>
              <w:jc w:val="center"/>
              <w:rPr>
                <w:rFonts w:hint="eastAsia" w:ascii="仿宋" w:hAnsi="仿宋" w:eastAsia="仿宋" w:cs="仿宋"/>
                <w:i w:val="0"/>
                <w:iCs w:val="0"/>
                <w:color w:val="000000"/>
                <w:sz w:val="28"/>
                <w:szCs w:val="28"/>
                <w:u w:val="none"/>
              </w:rPr>
            </w:pPr>
          </w:p>
        </w:tc>
        <w:tc>
          <w:tcPr>
            <w:tcW w:w="1387" w:type="dxa"/>
            <w:tcBorders>
              <w:top w:val="single" w:color="000000" w:sz="4" w:space="0"/>
              <w:left w:val="single" w:color="000000" w:sz="4" w:space="0"/>
              <w:bottom w:val="single" w:color="000000" w:sz="4" w:space="0"/>
              <w:right w:val="single" w:color="000000" w:sz="4" w:space="0"/>
            </w:tcBorders>
            <w:shd w:val="clear"/>
            <w:vAlign w:val="center"/>
          </w:tcPr>
          <w:p w14:paraId="2ECA12F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单价</w:t>
            </w:r>
          </w:p>
        </w:tc>
        <w:tc>
          <w:tcPr>
            <w:tcW w:w="1519" w:type="dxa"/>
            <w:tcBorders>
              <w:top w:val="single" w:color="000000" w:sz="4" w:space="0"/>
              <w:left w:val="single" w:color="000000" w:sz="4" w:space="0"/>
              <w:bottom w:val="single" w:color="000000" w:sz="4" w:space="0"/>
              <w:right w:val="single" w:color="000000" w:sz="4" w:space="0"/>
            </w:tcBorders>
            <w:shd w:val="clear"/>
            <w:vAlign w:val="center"/>
          </w:tcPr>
          <w:p w14:paraId="2C737E0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合计</w:t>
            </w:r>
          </w:p>
        </w:tc>
        <w:tc>
          <w:tcPr>
            <w:tcW w:w="142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A19B59">
            <w:pPr>
              <w:jc w:val="center"/>
              <w:rPr>
                <w:rFonts w:hint="eastAsia" w:ascii="仿宋" w:hAnsi="仿宋" w:eastAsia="仿宋" w:cs="仿宋"/>
                <w:i w:val="0"/>
                <w:iCs w:val="0"/>
                <w:color w:val="000000"/>
                <w:sz w:val="28"/>
                <w:szCs w:val="28"/>
                <w:u w:val="none"/>
              </w:rPr>
            </w:pPr>
          </w:p>
        </w:tc>
      </w:tr>
      <w:tr w14:paraId="03876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1505" w:type="dxa"/>
            <w:tcBorders>
              <w:top w:val="single" w:color="000000" w:sz="4" w:space="0"/>
              <w:left w:val="single" w:color="000000" w:sz="4" w:space="0"/>
              <w:bottom w:val="single" w:color="000000" w:sz="4" w:space="0"/>
              <w:right w:val="single" w:color="000000" w:sz="4" w:space="0"/>
            </w:tcBorders>
            <w:shd w:val="clear"/>
            <w:vAlign w:val="center"/>
          </w:tcPr>
          <w:p w14:paraId="63DFA14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回填砂</w:t>
            </w:r>
          </w:p>
        </w:tc>
        <w:tc>
          <w:tcPr>
            <w:tcW w:w="1625" w:type="dxa"/>
            <w:tcBorders>
              <w:top w:val="single" w:color="000000" w:sz="4" w:space="0"/>
              <w:left w:val="single" w:color="000000" w:sz="4" w:space="0"/>
              <w:bottom w:val="single" w:color="000000" w:sz="4" w:space="0"/>
              <w:right w:val="single" w:color="000000" w:sz="4" w:space="0"/>
            </w:tcBorders>
            <w:shd w:val="clear"/>
            <w:vAlign w:val="center"/>
          </w:tcPr>
          <w:p w14:paraId="327FE18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vAlign w:val="center"/>
          </w:tcPr>
          <w:p w14:paraId="66ED5A3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389" w:type="dxa"/>
            <w:tcBorders>
              <w:top w:val="single" w:color="000000" w:sz="4" w:space="0"/>
              <w:left w:val="single" w:color="000000" w:sz="4" w:space="0"/>
              <w:bottom w:val="single" w:color="000000" w:sz="4" w:space="0"/>
              <w:right w:val="single" w:color="000000" w:sz="4" w:space="0"/>
            </w:tcBorders>
            <w:shd w:val="clear"/>
            <w:vAlign w:val="center"/>
          </w:tcPr>
          <w:p w14:paraId="7468AEC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16090.50 </w:t>
            </w:r>
          </w:p>
        </w:tc>
        <w:tc>
          <w:tcPr>
            <w:tcW w:w="1387" w:type="dxa"/>
            <w:tcBorders>
              <w:top w:val="single" w:color="000000" w:sz="4" w:space="0"/>
              <w:left w:val="single" w:color="000000" w:sz="4" w:space="0"/>
              <w:bottom w:val="single" w:color="000000" w:sz="4" w:space="0"/>
              <w:right w:val="single" w:color="000000" w:sz="4" w:space="0"/>
            </w:tcBorders>
            <w:shd w:val="clear"/>
            <w:vAlign w:val="center"/>
          </w:tcPr>
          <w:p w14:paraId="2CA4B7DA">
            <w:pPr>
              <w:jc w:val="center"/>
              <w:rPr>
                <w:rFonts w:hint="eastAsia" w:ascii="宋体" w:hAnsi="宋体" w:eastAsia="宋体" w:cs="宋体"/>
                <w:i w:val="0"/>
                <w:iCs w:val="0"/>
                <w:color w:val="000000"/>
                <w:sz w:val="24"/>
                <w:szCs w:val="24"/>
                <w:u w:val="none"/>
              </w:rPr>
            </w:pPr>
          </w:p>
        </w:tc>
        <w:tc>
          <w:tcPr>
            <w:tcW w:w="1519" w:type="dxa"/>
            <w:tcBorders>
              <w:top w:val="single" w:color="000000" w:sz="4" w:space="0"/>
              <w:left w:val="single" w:color="000000" w:sz="4" w:space="0"/>
              <w:bottom w:val="single" w:color="000000" w:sz="4" w:space="0"/>
              <w:right w:val="single" w:color="000000" w:sz="4" w:space="0"/>
            </w:tcBorders>
            <w:shd w:val="clear"/>
            <w:vAlign w:val="center"/>
          </w:tcPr>
          <w:p w14:paraId="40373CD5">
            <w:pPr>
              <w:jc w:val="center"/>
              <w:rPr>
                <w:rFonts w:hint="eastAsia" w:ascii="宋体" w:hAnsi="宋体" w:eastAsia="宋体" w:cs="宋体"/>
                <w:i w:val="0"/>
                <w:iCs w:val="0"/>
                <w:color w:val="000000"/>
                <w:sz w:val="24"/>
                <w:szCs w:val="24"/>
                <w:u w:val="none"/>
              </w:rPr>
            </w:pPr>
          </w:p>
        </w:tc>
        <w:tc>
          <w:tcPr>
            <w:tcW w:w="1422" w:type="dxa"/>
            <w:tcBorders>
              <w:top w:val="single" w:color="000000" w:sz="4" w:space="0"/>
              <w:left w:val="single" w:color="000000" w:sz="4" w:space="0"/>
              <w:bottom w:val="single" w:color="000000" w:sz="4" w:space="0"/>
              <w:right w:val="single" w:color="000000" w:sz="4" w:space="0"/>
            </w:tcBorders>
            <w:shd w:val="clear"/>
            <w:vAlign w:val="center"/>
          </w:tcPr>
          <w:p w14:paraId="66C6A4DF">
            <w:pPr>
              <w:rPr>
                <w:rFonts w:hint="eastAsia" w:ascii="仿宋" w:hAnsi="仿宋" w:eastAsia="仿宋" w:cs="仿宋"/>
                <w:i w:val="0"/>
                <w:iCs w:val="0"/>
                <w:color w:val="000000"/>
                <w:sz w:val="28"/>
                <w:szCs w:val="28"/>
                <w:u w:val="none"/>
              </w:rPr>
            </w:pPr>
          </w:p>
        </w:tc>
      </w:tr>
      <w:tr w14:paraId="2FDF4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1505" w:type="dxa"/>
            <w:tcBorders>
              <w:top w:val="single" w:color="000000" w:sz="4" w:space="0"/>
              <w:left w:val="single" w:color="000000" w:sz="4" w:space="0"/>
              <w:bottom w:val="single" w:color="000000" w:sz="4" w:space="0"/>
              <w:right w:val="single" w:color="000000" w:sz="4" w:space="0"/>
            </w:tcBorders>
            <w:shd w:val="clear"/>
            <w:vAlign w:val="center"/>
          </w:tcPr>
          <w:p w14:paraId="6060E3F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碎石</w:t>
            </w:r>
          </w:p>
        </w:tc>
        <w:tc>
          <w:tcPr>
            <w:tcW w:w="1625" w:type="dxa"/>
            <w:tcBorders>
              <w:top w:val="single" w:color="000000" w:sz="4" w:space="0"/>
              <w:left w:val="single" w:color="000000" w:sz="4" w:space="0"/>
              <w:bottom w:val="single" w:color="000000" w:sz="4" w:space="0"/>
              <w:right w:val="single" w:color="000000" w:sz="4" w:space="0"/>
            </w:tcBorders>
            <w:shd w:val="clear"/>
            <w:vAlign w:val="center"/>
          </w:tcPr>
          <w:p w14:paraId="1EDE8BB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 20～40</w:t>
            </w:r>
          </w:p>
        </w:tc>
        <w:tc>
          <w:tcPr>
            <w:tcW w:w="953" w:type="dxa"/>
            <w:tcBorders>
              <w:top w:val="single" w:color="000000" w:sz="4" w:space="0"/>
              <w:left w:val="single" w:color="000000" w:sz="4" w:space="0"/>
              <w:bottom w:val="single" w:color="000000" w:sz="4" w:space="0"/>
              <w:right w:val="single" w:color="000000" w:sz="4" w:space="0"/>
            </w:tcBorders>
            <w:shd w:val="clear"/>
            <w:vAlign w:val="center"/>
          </w:tcPr>
          <w:p w14:paraId="188C390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389" w:type="dxa"/>
            <w:tcBorders>
              <w:top w:val="single" w:color="000000" w:sz="4" w:space="0"/>
              <w:left w:val="single" w:color="000000" w:sz="4" w:space="0"/>
              <w:bottom w:val="single" w:color="000000" w:sz="4" w:space="0"/>
              <w:right w:val="single" w:color="000000" w:sz="4" w:space="0"/>
            </w:tcBorders>
            <w:shd w:val="clear"/>
            <w:vAlign w:val="center"/>
          </w:tcPr>
          <w:p w14:paraId="57ECFC7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1051.63 </w:t>
            </w:r>
          </w:p>
        </w:tc>
        <w:tc>
          <w:tcPr>
            <w:tcW w:w="1387" w:type="dxa"/>
            <w:tcBorders>
              <w:top w:val="single" w:color="000000" w:sz="4" w:space="0"/>
              <w:left w:val="single" w:color="000000" w:sz="4" w:space="0"/>
              <w:bottom w:val="single" w:color="000000" w:sz="4" w:space="0"/>
              <w:right w:val="single" w:color="000000" w:sz="4" w:space="0"/>
            </w:tcBorders>
            <w:shd w:val="clear"/>
            <w:vAlign w:val="center"/>
          </w:tcPr>
          <w:p w14:paraId="122C70FB">
            <w:pPr>
              <w:jc w:val="center"/>
              <w:rPr>
                <w:rFonts w:hint="eastAsia" w:ascii="宋体" w:hAnsi="宋体" w:eastAsia="宋体" w:cs="宋体"/>
                <w:i w:val="0"/>
                <w:iCs w:val="0"/>
                <w:color w:val="000000"/>
                <w:sz w:val="24"/>
                <w:szCs w:val="24"/>
                <w:u w:val="none"/>
              </w:rPr>
            </w:pPr>
          </w:p>
        </w:tc>
        <w:tc>
          <w:tcPr>
            <w:tcW w:w="1519" w:type="dxa"/>
            <w:tcBorders>
              <w:top w:val="single" w:color="000000" w:sz="4" w:space="0"/>
              <w:left w:val="single" w:color="000000" w:sz="4" w:space="0"/>
              <w:bottom w:val="single" w:color="000000" w:sz="4" w:space="0"/>
              <w:right w:val="single" w:color="000000" w:sz="4" w:space="0"/>
            </w:tcBorders>
            <w:shd w:val="clear"/>
            <w:vAlign w:val="center"/>
          </w:tcPr>
          <w:p w14:paraId="31F35CD8">
            <w:pPr>
              <w:jc w:val="center"/>
              <w:rPr>
                <w:rFonts w:hint="eastAsia" w:ascii="宋体" w:hAnsi="宋体" w:eastAsia="宋体" w:cs="宋体"/>
                <w:i w:val="0"/>
                <w:iCs w:val="0"/>
                <w:color w:val="000000"/>
                <w:sz w:val="24"/>
                <w:szCs w:val="24"/>
                <w:u w:val="none"/>
              </w:rPr>
            </w:pPr>
          </w:p>
        </w:tc>
        <w:tc>
          <w:tcPr>
            <w:tcW w:w="1422" w:type="dxa"/>
            <w:tcBorders>
              <w:top w:val="single" w:color="000000" w:sz="4" w:space="0"/>
              <w:left w:val="single" w:color="000000" w:sz="4" w:space="0"/>
              <w:bottom w:val="single" w:color="000000" w:sz="4" w:space="0"/>
              <w:right w:val="single" w:color="000000" w:sz="4" w:space="0"/>
            </w:tcBorders>
            <w:shd w:val="clear"/>
            <w:vAlign w:val="center"/>
          </w:tcPr>
          <w:p w14:paraId="3854B5EC">
            <w:pPr>
              <w:rPr>
                <w:rFonts w:hint="eastAsia" w:ascii="仿宋" w:hAnsi="仿宋" w:eastAsia="仿宋" w:cs="仿宋"/>
                <w:i w:val="0"/>
                <w:iCs w:val="0"/>
                <w:color w:val="000000"/>
                <w:sz w:val="28"/>
                <w:szCs w:val="28"/>
                <w:u w:val="none"/>
              </w:rPr>
            </w:pPr>
          </w:p>
        </w:tc>
      </w:tr>
      <w:tr w14:paraId="4D702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1505" w:type="dxa"/>
            <w:tcBorders>
              <w:top w:val="single" w:color="000000" w:sz="4" w:space="0"/>
              <w:left w:val="single" w:color="000000" w:sz="4" w:space="0"/>
              <w:bottom w:val="single" w:color="000000" w:sz="4" w:space="0"/>
              <w:right w:val="single" w:color="000000" w:sz="4" w:space="0"/>
            </w:tcBorders>
            <w:shd w:val="clear"/>
            <w:vAlign w:val="center"/>
          </w:tcPr>
          <w:p w14:paraId="1F3BBDF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碎石</w:t>
            </w:r>
          </w:p>
        </w:tc>
        <w:tc>
          <w:tcPr>
            <w:tcW w:w="1625" w:type="dxa"/>
            <w:tcBorders>
              <w:top w:val="single" w:color="000000" w:sz="4" w:space="0"/>
              <w:left w:val="single" w:color="000000" w:sz="4" w:space="0"/>
              <w:bottom w:val="single" w:color="000000" w:sz="4" w:space="0"/>
              <w:right w:val="single" w:color="000000" w:sz="4" w:space="0"/>
            </w:tcBorders>
            <w:shd w:val="clear"/>
            <w:vAlign w:val="center"/>
          </w:tcPr>
          <w:p w14:paraId="6564FDE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60</w:t>
            </w:r>
          </w:p>
        </w:tc>
        <w:tc>
          <w:tcPr>
            <w:tcW w:w="953" w:type="dxa"/>
            <w:tcBorders>
              <w:top w:val="single" w:color="000000" w:sz="4" w:space="0"/>
              <w:left w:val="single" w:color="000000" w:sz="4" w:space="0"/>
              <w:bottom w:val="single" w:color="000000" w:sz="4" w:space="0"/>
              <w:right w:val="single" w:color="000000" w:sz="4" w:space="0"/>
            </w:tcBorders>
            <w:shd w:val="clear"/>
            <w:vAlign w:val="center"/>
          </w:tcPr>
          <w:p w14:paraId="048DAAC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389" w:type="dxa"/>
            <w:tcBorders>
              <w:top w:val="single" w:color="000000" w:sz="4" w:space="0"/>
              <w:left w:val="single" w:color="000000" w:sz="4" w:space="0"/>
              <w:bottom w:val="single" w:color="000000" w:sz="4" w:space="0"/>
              <w:right w:val="single" w:color="000000" w:sz="4" w:space="0"/>
            </w:tcBorders>
            <w:shd w:val="clear"/>
            <w:vAlign w:val="center"/>
          </w:tcPr>
          <w:p w14:paraId="44D6081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181.56 </w:t>
            </w:r>
          </w:p>
        </w:tc>
        <w:tc>
          <w:tcPr>
            <w:tcW w:w="1387" w:type="dxa"/>
            <w:tcBorders>
              <w:top w:val="single" w:color="000000" w:sz="4" w:space="0"/>
              <w:left w:val="single" w:color="000000" w:sz="4" w:space="0"/>
              <w:bottom w:val="single" w:color="000000" w:sz="4" w:space="0"/>
              <w:right w:val="single" w:color="000000" w:sz="4" w:space="0"/>
            </w:tcBorders>
            <w:shd w:val="clear"/>
            <w:vAlign w:val="center"/>
          </w:tcPr>
          <w:p w14:paraId="3C18C768">
            <w:pPr>
              <w:jc w:val="center"/>
              <w:rPr>
                <w:rFonts w:hint="eastAsia" w:ascii="宋体" w:hAnsi="宋体" w:eastAsia="宋体" w:cs="宋体"/>
                <w:i w:val="0"/>
                <w:iCs w:val="0"/>
                <w:color w:val="000000"/>
                <w:sz w:val="24"/>
                <w:szCs w:val="24"/>
                <w:u w:val="none"/>
              </w:rPr>
            </w:pPr>
          </w:p>
        </w:tc>
        <w:tc>
          <w:tcPr>
            <w:tcW w:w="1519" w:type="dxa"/>
            <w:tcBorders>
              <w:top w:val="single" w:color="000000" w:sz="4" w:space="0"/>
              <w:left w:val="single" w:color="000000" w:sz="4" w:space="0"/>
              <w:bottom w:val="single" w:color="000000" w:sz="4" w:space="0"/>
              <w:right w:val="single" w:color="000000" w:sz="4" w:space="0"/>
            </w:tcBorders>
            <w:shd w:val="clear"/>
            <w:vAlign w:val="center"/>
          </w:tcPr>
          <w:p w14:paraId="1A3EAC72">
            <w:pPr>
              <w:jc w:val="center"/>
              <w:rPr>
                <w:rFonts w:hint="eastAsia" w:ascii="宋体" w:hAnsi="宋体" w:eastAsia="宋体" w:cs="宋体"/>
                <w:i w:val="0"/>
                <w:iCs w:val="0"/>
                <w:color w:val="000000"/>
                <w:sz w:val="24"/>
                <w:szCs w:val="24"/>
                <w:u w:val="none"/>
              </w:rPr>
            </w:pPr>
          </w:p>
        </w:tc>
        <w:tc>
          <w:tcPr>
            <w:tcW w:w="1422" w:type="dxa"/>
            <w:tcBorders>
              <w:top w:val="single" w:color="000000" w:sz="4" w:space="0"/>
              <w:left w:val="single" w:color="000000" w:sz="4" w:space="0"/>
              <w:bottom w:val="single" w:color="000000" w:sz="4" w:space="0"/>
              <w:right w:val="single" w:color="000000" w:sz="4" w:space="0"/>
            </w:tcBorders>
            <w:shd w:val="clear"/>
            <w:vAlign w:val="center"/>
          </w:tcPr>
          <w:p w14:paraId="2ACE48CB">
            <w:pPr>
              <w:rPr>
                <w:rFonts w:hint="eastAsia" w:ascii="仿宋" w:hAnsi="仿宋" w:eastAsia="仿宋" w:cs="仿宋"/>
                <w:i w:val="0"/>
                <w:iCs w:val="0"/>
                <w:color w:val="000000"/>
                <w:sz w:val="28"/>
                <w:szCs w:val="28"/>
                <w:u w:val="none"/>
              </w:rPr>
            </w:pPr>
          </w:p>
        </w:tc>
      </w:tr>
      <w:tr w14:paraId="78C5F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1505" w:type="dxa"/>
            <w:tcBorders>
              <w:top w:val="single" w:color="000000" w:sz="4" w:space="0"/>
              <w:left w:val="single" w:color="000000" w:sz="4" w:space="0"/>
              <w:bottom w:val="single" w:color="000000" w:sz="4" w:space="0"/>
              <w:right w:val="single" w:color="000000" w:sz="4" w:space="0"/>
            </w:tcBorders>
            <w:shd w:val="clear"/>
            <w:vAlign w:val="center"/>
          </w:tcPr>
          <w:p w14:paraId="2509FFD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片石</w:t>
            </w:r>
          </w:p>
        </w:tc>
        <w:tc>
          <w:tcPr>
            <w:tcW w:w="1625" w:type="dxa"/>
            <w:tcBorders>
              <w:top w:val="single" w:color="000000" w:sz="4" w:space="0"/>
              <w:left w:val="single" w:color="000000" w:sz="4" w:space="0"/>
              <w:bottom w:val="single" w:color="000000" w:sz="4" w:space="0"/>
              <w:right w:val="single" w:color="000000" w:sz="4" w:space="0"/>
            </w:tcBorders>
            <w:shd w:val="clear"/>
            <w:vAlign w:val="center"/>
          </w:tcPr>
          <w:p w14:paraId="679AE36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vAlign w:val="center"/>
          </w:tcPr>
          <w:p w14:paraId="3EBA6ED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389" w:type="dxa"/>
            <w:tcBorders>
              <w:top w:val="single" w:color="000000" w:sz="4" w:space="0"/>
              <w:left w:val="single" w:color="000000" w:sz="4" w:space="0"/>
              <w:bottom w:val="single" w:color="000000" w:sz="4" w:space="0"/>
              <w:right w:val="single" w:color="000000" w:sz="4" w:space="0"/>
            </w:tcBorders>
            <w:shd w:val="clear"/>
            <w:vAlign w:val="center"/>
          </w:tcPr>
          <w:p w14:paraId="74466FC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440.84 </w:t>
            </w:r>
          </w:p>
        </w:tc>
        <w:tc>
          <w:tcPr>
            <w:tcW w:w="1387" w:type="dxa"/>
            <w:tcBorders>
              <w:top w:val="single" w:color="000000" w:sz="4" w:space="0"/>
              <w:left w:val="single" w:color="000000" w:sz="4" w:space="0"/>
              <w:bottom w:val="single" w:color="000000" w:sz="4" w:space="0"/>
              <w:right w:val="single" w:color="000000" w:sz="4" w:space="0"/>
            </w:tcBorders>
            <w:shd w:val="clear"/>
            <w:vAlign w:val="center"/>
          </w:tcPr>
          <w:p w14:paraId="0BC358DA">
            <w:pPr>
              <w:jc w:val="center"/>
              <w:rPr>
                <w:rFonts w:hint="eastAsia" w:ascii="宋体" w:hAnsi="宋体" w:eastAsia="宋体" w:cs="宋体"/>
                <w:i w:val="0"/>
                <w:iCs w:val="0"/>
                <w:color w:val="000000"/>
                <w:sz w:val="24"/>
                <w:szCs w:val="24"/>
                <w:u w:val="none"/>
              </w:rPr>
            </w:pPr>
          </w:p>
        </w:tc>
        <w:tc>
          <w:tcPr>
            <w:tcW w:w="1519" w:type="dxa"/>
            <w:tcBorders>
              <w:top w:val="single" w:color="000000" w:sz="4" w:space="0"/>
              <w:left w:val="single" w:color="000000" w:sz="4" w:space="0"/>
              <w:bottom w:val="single" w:color="000000" w:sz="4" w:space="0"/>
              <w:right w:val="single" w:color="000000" w:sz="4" w:space="0"/>
            </w:tcBorders>
            <w:shd w:val="clear"/>
            <w:vAlign w:val="center"/>
          </w:tcPr>
          <w:p w14:paraId="7B1A9661">
            <w:pPr>
              <w:jc w:val="center"/>
              <w:rPr>
                <w:rFonts w:hint="eastAsia" w:ascii="宋体" w:hAnsi="宋体" w:eastAsia="宋体" w:cs="宋体"/>
                <w:i w:val="0"/>
                <w:iCs w:val="0"/>
                <w:color w:val="000000"/>
                <w:sz w:val="24"/>
                <w:szCs w:val="24"/>
                <w:u w:val="none"/>
              </w:rPr>
            </w:pPr>
          </w:p>
        </w:tc>
        <w:tc>
          <w:tcPr>
            <w:tcW w:w="1422" w:type="dxa"/>
            <w:tcBorders>
              <w:top w:val="single" w:color="000000" w:sz="4" w:space="0"/>
              <w:left w:val="single" w:color="000000" w:sz="4" w:space="0"/>
              <w:bottom w:val="single" w:color="000000" w:sz="4" w:space="0"/>
              <w:right w:val="single" w:color="000000" w:sz="4" w:space="0"/>
            </w:tcBorders>
            <w:shd w:val="clear"/>
            <w:vAlign w:val="center"/>
          </w:tcPr>
          <w:p w14:paraId="555EAEFA">
            <w:pPr>
              <w:rPr>
                <w:rFonts w:hint="eastAsia" w:ascii="仿宋" w:hAnsi="仿宋" w:eastAsia="仿宋" w:cs="仿宋"/>
                <w:i w:val="0"/>
                <w:iCs w:val="0"/>
                <w:color w:val="000000"/>
                <w:sz w:val="28"/>
                <w:szCs w:val="28"/>
                <w:u w:val="none"/>
              </w:rPr>
            </w:pPr>
          </w:p>
        </w:tc>
      </w:tr>
      <w:tr w14:paraId="674C2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1505" w:type="dxa"/>
            <w:tcBorders>
              <w:top w:val="single" w:color="000000" w:sz="4" w:space="0"/>
              <w:left w:val="single" w:color="000000" w:sz="4" w:space="0"/>
              <w:bottom w:val="single" w:color="000000" w:sz="4" w:space="0"/>
              <w:right w:val="single" w:color="000000" w:sz="4" w:space="0"/>
            </w:tcBorders>
            <w:shd w:val="clear"/>
            <w:vAlign w:val="center"/>
          </w:tcPr>
          <w:p w14:paraId="30F8609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块石</w:t>
            </w:r>
          </w:p>
        </w:tc>
        <w:tc>
          <w:tcPr>
            <w:tcW w:w="1625" w:type="dxa"/>
            <w:tcBorders>
              <w:top w:val="single" w:color="000000" w:sz="4" w:space="0"/>
              <w:left w:val="single" w:color="000000" w:sz="4" w:space="0"/>
              <w:bottom w:val="single" w:color="000000" w:sz="4" w:space="0"/>
              <w:right w:val="single" w:color="000000" w:sz="4" w:space="0"/>
            </w:tcBorders>
            <w:shd w:val="clear"/>
            <w:vAlign w:val="center"/>
          </w:tcPr>
          <w:p w14:paraId="69C5366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vAlign w:val="center"/>
          </w:tcPr>
          <w:p w14:paraId="7A82921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389" w:type="dxa"/>
            <w:tcBorders>
              <w:top w:val="single" w:color="000000" w:sz="4" w:space="0"/>
              <w:left w:val="single" w:color="000000" w:sz="4" w:space="0"/>
              <w:bottom w:val="single" w:color="000000" w:sz="4" w:space="0"/>
              <w:right w:val="single" w:color="000000" w:sz="4" w:space="0"/>
            </w:tcBorders>
            <w:shd w:val="clear"/>
            <w:vAlign w:val="center"/>
          </w:tcPr>
          <w:p w14:paraId="72C5094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3376.34 </w:t>
            </w:r>
          </w:p>
        </w:tc>
        <w:tc>
          <w:tcPr>
            <w:tcW w:w="1387" w:type="dxa"/>
            <w:tcBorders>
              <w:top w:val="single" w:color="000000" w:sz="4" w:space="0"/>
              <w:left w:val="single" w:color="000000" w:sz="4" w:space="0"/>
              <w:bottom w:val="single" w:color="000000" w:sz="4" w:space="0"/>
              <w:right w:val="single" w:color="000000" w:sz="4" w:space="0"/>
            </w:tcBorders>
            <w:shd w:val="clear"/>
            <w:vAlign w:val="center"/>
          </w:tcPr>
          <w:p w14:paraId="574AEB62">
            <w:pPr>
              <w:jc w:val="center"/>
              <w:rPr>
                <w:rFonts w:hint="eastAsia" w:ascii="宋体" w:hAnsi="宋体" w:eastAsia="宋体" w:cs="宋体"/>
                <w:i w:val="0"/>
                <w:iCs w:val="0"/>
                <w:color w:val="000000"/>
                <w:sz w:val="24"/>
                <w:szCs w:val="24"/>
                <w:u w:val="none"/>
              </w:rPr>
            </w:pPr>
          </w:p>
        </w:tc>
        <w:tc>
          <w:tcPr>
            <w:tcW w:w="1519" w:type="dxa"/>
            <w:tcBorders>
              <w:top w:val="single" w:color="000000" w:sz="4" w:space="0"/>
              <w:left w:val="single" w:color="000000" w:sz="4" w:space="0"/>
              <w:bottom w:val="single" w:color="000000" w:sz="4" w:space="0"/>
              <w:right w:val="single" w:color="000000" w:sz="4" w:space="0"/>
            </w:tcBorders>
            <w:shd w:val="clear"/>
            <w:vAlign w:val="center"/>
          </w:tcPr>
          <w:p w14:paraId="68A1252D">
            <w:pPr>
              <w:jc w:val="center"/>
              <w:rPr>
                <w:rFonts w:hint="eastAsia" w:ascii="宋体" w:hAnsi="宋体" w:eastAsia="宋体" w:cs="宋体"/>
                <w:i w:val="0"/>
                <w:iCs w:val="0"/>
                <w:color w:val="000000"/>
                <w:sz w:val="24"/>
                <w:szCs w:val="24"/>
                <w:u w:val="none"/>
              </w:rPr>
            </w:pPr>
          </w:p>
        </w:tc>
        <w:tc>
          <w:tcPr>
            <w:tcW w:w="1422" w:type="dxa"/>
            <w:tcBorders>
              <w:top w:val="single" w:color="000000" w:sz="4" w:space="0"/>
              <w:left w:val="single" w:color="000000" w:sz="4" w:space="0"/>
              <w:bottom w:val="single" w:color="000000" w:sz="4" w:space="0"/>
              <w:right w:val="single" w:color="000000" w:sz="4" w:space="0"/>
            </w:tcBorders>
            <w:shd w:val="clear"/>
            <w:vAlign w:val="center"/>
          </w:tcPr>
          <w:p w14:paraId="39138C0C">
            <w:pPr>
              <w:rPr>
                <w:rFonts w:hint="eastAsia" w:ascii="仿宋" w:hAnsi="仿宋" w:eastAsia="仿宋" w:cs="仿宋"/>
                <w:i w:val="0"/>
                <w:iCs w:val="0"/>
                <w:color w:val="000000"/>
                <w:sz w:val="28"/>
                <w:szCs w:val="28"/>
                <w:u w:val="none"/>
              </w:rPr>
            </w:pPr>
          </w:p>
        </w:tc>
      </w:tr>
      <w:tr w14:paraId="2B52E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1505" w:type="dxa"/>
            <w:tcBorders>
              <w:top w:val="single" w:color="000000" w:sz="4" w:space="0"/>
              <w:left w:val="single" w:color="000000" w:sz="4" w:space="0"/>
              <w:bottom w:val="single" w:color="000000" w:sz="4" w:space="0"/>
              <w:right w:val="single" w:color="000000" w:sz="4" w:space="0"/>
            </w:tcBorders>
            <w:shd w:val="clear"/>
            <w:vAlign w:val="center"/>
          </w:tcPr>
          <w:p w14:paraId="4C68DA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石屑</w:t>
            </w:r>
          </w:p>
        </w:tc>
        <w:tc>
          <w:tcPr>
            <w:tcW w:w="1625" w:type="dxa"/>
            <w:tcBorders>
              <w:top w:val="single" w:color="000000" w:sz="4" w:space="0"/>
              <w:left w:val="single" w:color="000000" w:sz="4" w:space="0"/>
              <w:bottom w:val="single" w:color="000000" w:sz="4" w:space="0"/>
              <w:right w:val="single" w:color="000000" w:sz="4" w:space="0"/>
            </w:tcBorders>
            <w:shd w:val="clear"/>
            <w:vAlign w:val="center"/>
          </w:tcPr>
          <w:p w14:paraId="0D234F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vAlign w:val="center"/>
          </w:tcPr>
          <w:p w14:paraId="1E24E02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m3</w:t>
            </w:r>
          </w:p>
        </w:tc>
        <w:tc>
          <w:tcPr>
            <w:tcW w:w="1389" w:type="dxa"/>
            <w:tcBorders>
              <w:top w:val="single" w:color="000000" w:sz="4" w:space="0"/>
              <w:left w:val="single" w:color="000000" w:sz="4" w:space="0"/>
              <w:bottom w:val="single" w:color="000000" w:sz="4" w:space="0"/>
              <w:right w:val="single" w:color="000000" w:sz="4" w:space="0"/>
            </w:tcBorders>
            <w:shd w:val="clear"/>
            <w:vAlign w:val="center"/>
          </w:tcPr>
          <w:p w14:paraId="370F32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95.00 </w:t>
            </w:r>
          </w:p>
        </w:tc>
        <w:tc>
          <w:tcPr>
            <w:tcW w:w="1387" w:type="dxa"/>
            <w:tcBorders>
              <w:top w:val="single" w:color="000000" w:sz="4" w:space="0"/>
              <w:left w:val="single" w:color="000000" w:sz="4" w:space="0"/>
              <w:bottom w:val="single" w:color="000000" w:sz="4" w:space="0"/>
              <w:right w:val="single" w:color="000000" w:sz="4" w:space="0"/>
            </w:tcBorders>
            <w:shd w:val="clear"/>
            <w:vAlign w:val="center"/>
          </w:tcPr>
          <w:p w14:paraId="6E65A06C">
            <w:pPr>
              <w:jc w:val="center"/>
              <w:rPr>
                <w:rFonts w:hint="eastAsia" w:ascii="宋体" w:hAnsi="宋体" w:eastAsia="宋体" w:cs="宋体"/>
                <w:i w:val="0"/>
                <w:iCs w:val="0"/>
                <w:color w:val="000000"/>
                <w:sz w:val="24"/>
                <w:szCs w:val="24"/>
                <w:u w:val="none"/>
              </w:rPr>
            </w:pPr>
          </w:p>
        </w:tc>
        <w:tc>
          <w:tcPr>
            <w:tcW w:w="1519" w:type="dxa"/>
            <w:tcBorders>
              <w:top w:val="single" w:color="000000" w:sz="4" w:space="0"/>
              <w:left w:val="single" w:color="000000" w:sz="4" w:space="0"/>
              <w:bottom w:val="single" w:color="000000" w:sz="4" w:space="0"/>
              <w:right w:val="single" w:color="000000" w:sz="4" w:space="0"/>
            </w:tcBorders>
            <w:shd w:val="clear"/>
            <w:vAlign w:val="center"/>
          </w:tcPr>
          <w:p w14:paraId="332995D0">
            <w:pPr>
              <w:jc w:val="center"/>
              <w:rPr>
                <w:rFonts w:hint="eastAsia" w:ascii="宋体" w:hAnsi="宋体" w:eastAsia="宋体" w:cs="宋体"/>
                <w:i w:val="0"/>
                <w:iCs w:val="0"/>
                <w:color w:val="000000"/>
                <w:sz w:val="24"/>
                <w:szCs w:val="24"/>
                <w:u w:val="none"/>
              </w:rPr>
            </w:pPr>
          </w:p>
        </w:tc>
        <w:tc>
          <w:tcPr>
            <w:tcW w:w="1422" w:type="dxa"/>
            <w:tcBorders>
              <w:top w:val="single" w:color="000000" w:sz="4" w:space="0"/>
              <w:left w:val="single" w:color="000000" w:sz="4" w:space="0"/>
              <w:bottom w:val="single" w:color="000000" w:sz="4" w:space="0"/>
              <w:right w:val="single" w:color="000000" w:sz="4" w:space="0"/>
            </w:tcBorders>
            <w:shd w:val="clear"/>
            <w:vAlign w:val="center"/>
          </w:tcPr>
          <w:p w14:paraId="7299A9E1">
            <w:pPr>
              <w:rPr>
                <w:rFonts w:hint="eastAsia" w:ascii="仿宋" w:hAnsi="仿宋" w:eastAsia="仿宋" w:cs="仿宋"/>
                <w:i w:val="0"/>
                <w:iCs w:val="0"/>
                <w:color w:val="000000"/>
                <w:sz w:val="28"/>
                <w:szCs w:val="28"/>
                <w:u w:val="none"/>
              </w:rPr>
            </w:pPr>
          </w:p>
        </w:tc>
      </w:tr>
      <w:tr w14:paraId="4CAFD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6859" w:type="dxa"/>
            <w:gridSpan w:val="5"/>
            <w:tcBorders>
              <w:top w:val="single" w:color="000000" w:sz="4" w:space="0"/>
              <w:left w:val="single" w:color="000000" w:sz="4" w:space="0"/>
              <w:bottom w:val="single" w:color="000000" w:sz="4" w:space="0"/>
              <w:right w:val="single" w:color="000000" w:sz="4" w:space="0"/>
            </w:tcBorders>
            <w:shd w:val="clear"/>
            <w:vAlign w:val="center"/>
          </w:tcPr>
          <w:p w14:paraId="03150833">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bdr w:val="none" w:color="auto" w:sz="0" w:space="0"/>
                <w:lang w:val="en-US" w:eastAsia="zh-CN" w:bidi="ar"/>
              </w:rPr>
              <w:t>不含增值税总价</w:t>
            </w:r>
          </w:p>
        </w:tc>
        <w:tc>
          <w:tcPr>
            <w:tcW w:w="1519" w:type="dxa"/>
            <w:tcBorders>
              <w:top w:val="single" w:color="000000" w:sz="4" w:space="0"/>
              <w:left w:val="single" w:color="000000" w:sz="4" w:space="0"/>
              <w:bottom w:val="single" w:color="000000" w:sz="4" w:space="0"/>
              <w:right w:val="single" w:color="000000" w:sz="4" w:space="0"/>
            </w:tcBorders>
            <w:shd w:val="clear"/>
            <w:vAlign w:val="center"/>
          </w:tcPr>
          <w:p w14:paraId="19A3A9EB">
            <w:pPr>
              <w:jc w:val="center"/>
              <w:rPr>
                <w:rFonts w:hint="eastAsia" w:ascii="仿宋" w:hAnsi="仿宋" w:eastAsia="仿宋" w:cs="仿宋"/>
                <w:i w:val="0"/>
                <w:iCs w:val="0"/>
                <w:color w:val="000000"/>
                <w:sz w:val="28"/>
                <w:szCs w:val="28"/>
                <w:u w:val="none"/>
              </w:rPr>
            </w:pPr>
          </w:p>
        </w:tc>
        <w:tc>
          <w:tcPr>
            <w:tcW w:w="1422" w:type="dxa"/>
            <w:tcBorders>
              <w:top w:val="single" w:color="000000" w:sz="4" w:space="0"/>
              <w:left w:val="single" w:color="000000" w:sz="4" w:space="0"/>
              <w:bottom w:val="single" w:color="000000" w:sz="4" w:space="0"/>
              <w:right w:val="single" w:color="000000" w:sz="4" w:space="0"/>
            </w:tcBorders>
            <w:shd w:val="clear"/>
            <w:vAlign w:val="center"/>
          </w:tcPr>
          <w:p w14:paraId="2058DF84">
            <w:pPr>
              <w:jc w:val="both"/>
              <w:rPr>
                <w:rFonts w:hint="eastAsia" w:ascii="仿宋" w:hAnsi="仿宋" w:eastAsia="仿宋" w:cs="仿宋"/>
                <w:i w:val="0"/>
                <w:iCs w:val="0"/>
                <w:color w:val="000000"/>
                <w:sz w:val="28"/>
                <w:szCs w:val="28"/>
                <w:u w:val="none"/>
              </w:rPr>
            </w:pPr>
          </w:p>
        </w:tc>
      </w:tr>
      <w:tr w14:paraId="2104C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6859" w:type="dxa"/>
            <w:gridSpan w:val="5"/>
            <w:tcBorders>
              <w:top w:val="single" w:color="000000" w:sz="4" w:space="0"/>
              <w:left w:val="single" w:color="000000" w:sz="4" w:space="0"/>
              <w:bottom w:val="single" w:color="000000" w:sz="4" w:space="0"/>
              <w:right w:val="single" w:color="000000" w:sz="4" w:space="0"/>
            </w:tcBorders>
            <w:shd w:val="clear"/>
            <w:vAlign w:val="center"/>
          </w:tcPr>
          <w:p w14:paraId="5DA35FED">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bdr w:val="none" w:color="auto" w:sz="0" w:space="0"/>
                <w:lang w:val="en-US" w:eastAsia="zh-CN" w:bidi="ar"/>
              </w:rPr>
              <w:t>增值税（     %）</w:t>
            </w:r>
          </w:p>
        </w:tc>
        <w:tc>
          <w:tcPr>
            <w:tcW w:w="1519" w:type="dxa"/>
            <w:tcBorders>
              <w:top w:val="single" w:color="000000" w:sz="4" w:space="0"/>
              <w:left w:val="single" w:color="000000" w:sz="4" w:space="0"/>
              <w:bottom w:val="single" w:color="000000" w:sz="4" w:space="0"/>
              <w:right w:val="single" w:color="000000" w:sz="4" w:space="0"/>
            </w:tcBorders>
            <w:shd w:val="clear"/>
            <w:vAlign w:val="center"/>
          </w:tcPr>
          <w:p w14:paraId="18B10EA5">
            <w:pPr>
              <w:jc w:val="center"/>
              <w:rPr>
                <w:rFonts w:hint="eastAsia" w:ascii="仿宋" w:hAnsi="仿宋" w:eastAsia="仿宋" w:cs="仿宋"/>
                <w:i w:val="0"/>
                <w:iCs w:val="0"/>
                <w:color w:val="000000"/>
                <w:sz w:val="28"/>
                <w:szCs w:val="28"/>
                <w:u w:val="none"/>
              </w:rPr>
            </w:pPr>
          </w:p>
        </w:tc>
        <w:tc>
          <w:tcPr>
            <w:tcW w:w="1422" w:type="dxa"/>
            <w:tcBorders>
              <w:top w:val="single" w:color="000000" w:sz="4" w:space="0"/>
              <w:left w:val="single" w:color="000000" w:sz="4" w:space="0"/>
              <w:bottom w:val="single" w:color="000000" w:sz="4" w:space="0"/>
              <w:right w:val="single" w:color="000000" w:sz="4" w:space="0"/>
            </w:tcBorders>
            <w:shd w:val="clear"/>
            <w:vAlign w:val="center"/>
          </w:tcPr>
          <w:p w14:paraId="20719CD0">
            <w:pPr>
              <w:jc w:val="both"/>
              <w:rPr>
                <w:rFonts w:hint="eastAsia" w:ascii="仿宋" w:hAnsi="仿宋" w:eastAsia="仿宋" w:cs="仿宋"/>
                <w:i w:val="0"/>
                <w:iCs w:val="0"/>
                <w:color w:val="000000"/>
                <w:sz w:val="28"/>
                <w:szCs w:val="28"/>
                <w:u w:val="none"/>
              </w:rPr>
            </w:pPr>
          </w:p>
        </w:tc>
      </w:tr>
      <w:tr w14:paraId="6D4B0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6859" w:type="dxa"/>
            <w:gridSpan w:val="5"/>
            <w:tcBorders>
              <w:top w:val="single" w:color="000000" w:sz="4" w:space="0"/>
              <w:left w:val="single" w:color="000000" w:sz="4" w:space="0"/>
              <w:bottom w:val="single" w:color="000000" w:sz="4" w:space="0"/>
              <w:right w:val="single" w:color="000000" w:sz="4" w:space="0"/>
            </w:tcBorders>
            <w:shd w:val="clear"/>
            <w:vAlign w:val="center"/>
          </w:tcPr>
          <w:p w14:paraId="46B6EE5F">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bdr w:val="none" w:color="auto" w:sz="0" w:space="0"/>
                <w:lang w:val="en-US" w:eastAsia="zh-CN" w:bidi="ar"/>
              </w:rPr>
              <w:t>含增值税总价</w:t>
            </w:r>
          </w:p>
        </w:tc>
        <w:tc>
          <w:tcPr>
            <w:tcW w:w="1519" w:type="dxa"/>
            <w:tcBorders>
              <w:top w:val="single" w:color="000000" w:sz="4" w:space="0"/>
              <w:left w:val="single" w:color="000000" w:sz="4" w:space="0"/>
              <w:bottom w:val="single" w:color="000000" w:sz="4" w:space="0"/>
              <w:right w:val="single" w:color="000000" w:sz="4" w:space="0"/>
            </w:tcBorders>
            <w:shd w:val="clear"/>
            <w:vAlign w:val="center"/>
          </w:tcPr>
          <w:p w14:paraId="740E8B34">
            <w:pPr>
              <w:jc w:val="center"/>
              <w:rPr>
                <w:rFonts w:hint="eastAsia" w:ascii="仿宋" w:hAnsi="仿宋" w:eastAsia="仿宋" w:cs="仿宋"/>
                <w:b/>
                <w:bCs/>
                <w:i w:val="0"/>
                <w:iCs w:val="0"/>
                <w:color w:val="000000"/>
                <w:sz w:val="28"/>
                <w:szCs w:val="28"/>
                <w:u w:val="none"/>
              </w:rPr>
            </w:pPr>
          </w:p>
        </w:tc>
        <w:tc>
          <w:tcPr>
            <w:tcW w:w="1422" w:type="dxa"/>
            <w:tcBorders>
              <w:top w:val="single" w:color="000000" w:sz="4" w:space="0"/>
              <w:left w:val="single" w:color="000000" w:sz="4" w:space="0"/>
              <w:bottom w:val="single" w:color="000000" w:sz="4" w:space="0"/>
              <w:right w:val="single" w:color="000000" w:sz="4" w:space="0"/>
            </w:tcBorders>
            <w:shd w:val="clear"/>
            <w:vAlign w:val="center"/>
          </w:tcPr>
          <w:p w14:paraId="1614AC82">
            <w:pPr>
              <w:jc w:val="both"/>
              <w:rPr>
                <w:rFonts w:hint="eastAsia" w:ascii="仿宋" w:hAnsi="仿宋" w:eastAsia="仿宋" w:cs="仿宋"/>
                <w:i w:val="0"/>
                <w:iCs w:val="0"/>
                <w:color w:val="000000"/>
                <w:sz w:val="28"/>
                <w:szCs w:val="28"/>
                <w:u w:val="none"/>
              </w:rPr>
            </w:pPr>
          </w:p>
        </w:tc>
      </w:tr>
      <w:tr w14:paraId="50886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0" w:type="auto"/>
            <w:gridSpan w:val="7"/>
            <w:tcBorders>
              <w:top w:val="nil"/>
              <w:left w:val="nil"/>
              <w:bottom w:val="nil"/>
              <w:right w:val="nil"/>
            </w:tcBorders>
            <w:shd w:val="clear"/>
            <w:noWrap/>
            <w:vAlign w:val="center"/>
          </w:tcPr>
          <w:p w14:paraId="0ED817C5">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 xml:space="preserve">联系人：           电话： </w:t>
            </w:r>
          </w:p>
        </w:tc>
      </w:tr>
    </w:tbl>
    <w:p w14:paraId="680B8E88">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4C6C2400">
      <w:pPr>
        <w:widowControl w:val="0"/>
        <w:spacing w:before="360" w:after="240"/>
        <w:jc w:val="center"/>
        <w:outlineLvl w:val="9"/>
        <w:rPr>
          <w:rFonts w:hint="eastAsia" w:ascii="仿宋" w:hAnsi="仿宋" w:eastAsia="仿宋" w:cs="Times New Roman"/>
          <w:b/>
          <w:bCs/>
          <w:kern w:val="2"/>
          <w:sz w:val="36"/>
          <w:szCs w:val="36"/>
          <w:lang w:val="en-US" w:eastAsia="zh-CN" w:bidi="ar-SA"/>
        </w:rPr>
      </w:pPr>
      <w:r>
        <w:rPr>
          <w:rFonts w:hint="eastAsia" w:ascii="仿宋" w:hAnsi="仿宋" w:eastAsia="仿宋" w:cs="Times New Roman"/>
          <w:b/>
          <w:bCs/>
          <w:kern w:val="2"/>
          <w:sz w:val="36"/>
          <w:szCs w:val="36"/>
          <w:u w:val="single"/>
          <w:lang w:val="en-US" w:eastAsia="zh-CN" w:bidi="ar-SA"/>
        </w:rPr>
        <w:t>砂、石料</w:t>
      </w:r>
      <w:r>
        <w:rPr>
          <w:rFonts w:hint="eastAsia" w:ascii="仿宋" w:hAnsi="仿宋" w:eastAsia="仿宋" w:cs="Times New Roman"/>
          <w:b/>
          <w:bCs/>
          <w:kern w:val="2"/>
          <w:sz w:val="36"/>
          <w:szCs w:val="36"/>
          <w:lang w:val="en-US" w:eastAsia="zh-CN" w:bidi="ar-SA"/>
        </w:rPr>
        <w:t>采购供应合同</w:t>
      </w:r>
    </w:p>
    <w:p w14:paraId="2CDA5BBE">
      <w:pPr>
        <w:wordWrap w:val="0"/>
        <w:jc w:val="right"/>
        <w:rPr>
          <w:rFonts w:hint="default" w:ascii="仿宋" w:hAnsi="仿宋" w:eastAsia="仿宋" w:cs="Times New Roman"/>
          <w:sz w:val="24"/>
          <w:szCs w:val="24"/>
          <w:lang w:val="en-US" w:eastAsia="zh-CN"/>
        </w:rPr>
      </w:pPr>
      <w:r>
        <w:rPr>
          <w:rFonts w:hint="eastAsia" w:ascii="仿宋" w:hAnsi="仿宋" w:eastAsia="仿宋" w:cs="Times New Roman"/>
          <w:sz w:val="24"/>
          <w:szCs w:val="24"/>
          <w:lang w:val="zh-CN"/>
        </w:rPr>
        <w:t xml:space="preserve">                             </w:t>
      </w:r>
      <w:r>
        <w:rPr>
          <w:rFonts w:hint="eastAsia" w:ascii="仿宋" w:hAnsi="仿宋" w:eastAsia="仿宋" w:cs="Times New Roman"/>
          <w:sz w:val="24"/>
          <w:szCs w:val="24"/>
        </w:rPr>
        <w:t xml:space="preserve">    </w:t>
      </w:r>
      <w:r>
        <w:rPr>
          <w:rFonts w:hint="eastAsia" w:ascii="仿宋" w:hAnsi="仿宋" w:eastAsia="仿宋" w:cs="Times New Roman"/>
          <w:sz w:val="24"/>
          <w:szCs w:val="24"/>
          <w:lang w:val="zh-CN"/>
        </w:rPr>
        <w:t xml:space="preserve">   合同编号：</w:t>
      </w:r>
      <w:r>
        <w:rPr>
          <w:rFonts w:hint="eastAsia" w:ascii="仿宋" w:hAnsi="仿宋" w:eastAsia="仿宋" w:cs="Times New Roman"/>
          <w:sz w:val="24"/>
          <w:szCs w:val="24"/>
          <w:u w:val="single"/>
          <w:lang w:val="en-US" w:eastAsia="zh-CN"/>
        </w:rPr>
        <w:t xml:space="preserve">               </w:t>
      </w:r>
    </w:p>
    <w:p w14:paraId="7B949C0E">
      <w:pPr>
        <w:autoSpaceDE w:val="0"/>
        <w:autoSpaceDN w:val="0"/>
        <w:spacing w:line="360" w:lineRule="auto"/>
        <w:rPr>
          <w:rFonts w:hint="eastAsia" w:ascii="仿宋" w:hAnsi="仿宋" w:eastAsia="仿宋" w:cs="Times New Roman"/>
          <w:sz w:val="24"/>
          <w:szCs w:val="24"/>
          <w:lang w:val="zh-CN" w:eastAsia="zh-CN"/>
        </w:rPr>
      </w:pPr>
      <w:r>
        <w:rPr>
          <w:rFonts w:hint="eastAsia" w:ascii="仿宋" w:hAnsi="仿宋" w:eastAsia="仿宋" w:cs="Times New Roman"/>
          <w:sz w:val="24"/>
          <w:szCs w:val="24"/>
          <w:lang w:val="zh-CN"/>
        </w:rPr>
        <w:t>甲方</w:t>
      </w:r>
      <w:r>
        <w:rPr>
          <w:rFonts w:hint="eastAsia" w:ascii="仿宋" w:hAnsi="仿宋" w:eastAsia="仿宋" w:cs="Times New Roman"/>
          <w:sz w:val="24"/>
          <w:szCs w:val="24"/>
        </w:rPr>
        <w:t>（需方）</w:t>
      </w:r>
      <w:r>
        <w:rPr>
          <w:rFonts w:hint="eastAsia" w:ascii="仿宋" w:hAnsi="仿宋" w:eastAsia="仿宋" w:cs="Times New Roman"/>
          <w:sz w:val="24"/>
          <w:szCs w:val="24"/>
          <w:lang w:val="zh-CN"/>
        </w:rPr>
        <w:t>：</w:t>
      </w:r>
      <w:r>
        <w:rPr>
          <w:rFonts w:hint="eastAsia" w:ascii="仿宋" w:hAnsi="仿宋" w:eastAsia="仿宋" w:cs="Times New Roman"/>
          <w:sz w:val="24"/>
          <w:szCs w:val="24"/>
          <w:u w:val="single"/>
        </w:rPr>
        <w:t xml:space="preserve"> </w:t>
      </w:r>
      <w:r>
        <w:rPr>
          <w:rFonts w:hint="eastAsia" w:ascii="仿宋" w:hAnsi="仿宋" w:eastAsia="仿宋" w:cs="Times New Roman"/>
          <w:color w:val="000000"/>
          <w:sz w:val="24"/>
          <w:szCs w:val="24"/>
          <w:u w:val="single"/>
          <w:lang w:val="en-US" w:eastAsia="zh-CN"/>
        </w:rPr>
        <w:t xml:space="preserve">               </w:t>
      </w:r>
    </w:p>
    <w:p w14:paraId="39DF665E">
      <w:pPr>
        <w:autoSpaceDE w:val="0"/>
        <w:autoSpaceDN w:val="0"/>
        <w:spacing w:line="360" w:lineRule="auto"/>
        <w:rPr>
          <w:rFonts w:ascii="仿宋" w:hAnsi="仿宋" w:eastAsia="仿宋" w:cs="Times New Roman"/>
          <w:sz w:val="24"/>
          <w:szCs w:val="24"/>
          <w:u w:val="single"/>
        </w:rPr>
      </w:pPr>
      <w:r>
        <w:rPr>
          <w:rFonts w:hint="eastAsia" w:ascii="仿宋" w:hAnsi="仿宋" w:eastAsia="仿宋" w:cs="Times New Roman"/>
          <w:sz w:val="24"/>
          <w:szCs w:val="24"/>
          <w:lang w:val="zh-CN"/>
        </w:rPr>
        <w:t>乙方（供方）：</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p>
    <w:p w14:paraId="581B38F4">
      <w:pPr>
        <w:autoSpaceDE w:val="0"/>
        <w:autoSpaceDN w:val="0"/>
        <w:spacing w:line="360" w:lineRule="auto"/>
        <w:rPr>
          <w:rFonts w:hint="eastAsia" w:ascii="仿宋" w:hAnsi="仿宋" w:eastAsia="仿宋" w:cs="Times New Roman"/>
          <w:sz w:val="24"/>
          <w:szCs w:val="24"/>
          <w:lang w:val="zh-CN"/>
        </w:rPr>
      </w:pPr>
    </w:p>
    <w:p w14:paraId="7A7ACBE1">
      <w:pPr>
        <w:tabs>
          <w:tab w:val="left" w:pos="1260"/>
        </w:tabs>
        <w:autoSpaceDE w:val="0"/>
        <w:autoSpaceDN w:val="0"/>
        <w:spacing w:line="360" w:lineRule="auto"/>
        <w:ind w:firstLine="480" w:firstLineChars="200"/>
        <w:rPr>
          <w:rFonts w:hint="eastAsia" w:ascii="仿宋" w:hAnsi="仿宋" w:eastAsia="仿宋" w:cs="Times New Roman"/>
          <w:sz w:val="24"/>
          <w:szCs w:val="24"/>
          <w:lang w:val="zh-CN" w:eastAsia="zh-CN"/>
        </w:rPr>
      </w:pPr>
      <w:r>
        <w:rPr>
          <w:rFonts w:hint="eastAsia" w:ascii="仿宋" w:hAnsi="仿宋" w:eastAsia="仿宋" w:cs="Times New Roman"/>
          <w:sz w:val="24"/>
          <w:szCs w:val="24"/>
          <w:lang w:val="zh-CN"/>
        </w:rPr>
        <w:t>为保证甲方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none"/>
        </w:rPr>
        <w:t xml:space="preserve">砂、石料 </w:t>
      </w:r>
      <w:r>
        <w:rPr>
          <w:rFonts w:hint="eastAsia" w:ascii="仿宋" w:hAnsi="仿宋" w:eastAsia="仿宋" w:cs="Times New Roman"/>
          <w:sz w:val="24"/>
          <w:szCs w:val="24"/>
        </w:rPr>
        <w:t>的平稳供应，满足甲方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项目的</w:t>
      </w:r>
      <w:r>
        <w:rPr>
          <w:rFonts w:hint="eastAsia" w:ascii="仿宋" w:hAnsi="仿宋" w:eastAsia="仿宋" w:cs="Times New Roman"/>
          <w:sz w:val="24"/>
          <w:szCs w:val="24"/>
          <w:lang w:val="zh-CN"/>
        </w:rPr>
        <w:t>施工要求，甲乙双方拟就</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lang w:val="zh-CN"/>
        </w:rPr>
        <w:t>项目</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lang w:val="zh-CN"/>
        </w:rPr>
        <w:t>的需求与供应进行合作。经双方友好协商一致，</w:t>
      </w:r>
      <w:r>
        <w:rPr>
          <w:rFonts w:hint="eastAsia" w:ascii="仿宋" w:hAnsi="仿宋" w:eastAsia="仿宋" w:cs="Times New Roman"/>
          <w:sz w:val="24"/>
          <w:szCs w:val="24"/>
        </w:rPr>
        <w:t>特签订本合同，以便共同遵守</w:t>
      </w:r>
      <w:r>
        <w:rPr>
          <w:rFonts w:hint="eastAsia" w:ascii="仿宋" w:hAnsi="仿宋" w:eastAsia="仿宋" w:cs="Times New Roman"/>
          <w:sz w:val="24"/>
          <w:szCs w:val="24"/>
          <w:lang w:eastAsia="zh-CN"/>
        </w:rPr>
        <w:t>。</w:t>
      </w:r>
    </w:p>
    <w:p w14:paraId="51D8DB05">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第一条  项目需求情况</w:t>
      </w:r>
    </w:p>
    <w:p w14:paraId="6BF3A234">
      <w:pPr>
        <w:spacing w:line="360" w:lineRule="auto"/>
        <w:ind w:firstLine="480" w:firstLineChars="200"/>
        <w:rPr>
          <w:rFonts w:hint="eastAsia" w:ascii="仿宋" w:hAnsi="仿宋" w:eastAsia="仿宋" w:cs="Times New Roman"/>
          <w:sz w:val="24"/>
          <w:szCs w:val="24"/>
          <w:u w:val="single"/>
        </w:rPr>
      </w:pPr>
      <w:r>
        <w:rPr>
          <w:rFonts w:hint="eastAsia" w:ascii="仿宋" w:hAnsi="仿宋" w:eastAsia="仿宋" w:cs="Times New Roman"/>
          <w:sz w:val="24"/>
          <w:szCs w:val="24"/>
        </w:rPr>
        <w:t>1、合同标的：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p>
    <w:p w14:paraId="382FB1E0">
      <w:pPr>
        <w:spacing w:line="360" w:lineRule="auto"/>
        <w:ind w:firstLine="480" w:firstLineChars="200"/>
        <w:rPr>
          <w:rFonts w:hint="default" w:ascii="仿宋" w:hAnsi="仿宋" w:eastAsia="仿宋" w:cs="Times New Roman"/>
          <w:sz w:val="24"/>
          <w:szCs w:val="24"/>
          <w:u w:val="single"/>
          <w:lang w:val="en-US" w:eastAsia="zh-CN"/>
        </w:rPr>
      </w:pPr>
      <w:r>
        <w:rPr>
          <w:rFonts w:hint="eastAsia" w:ascii="仿宋" w:hAnsi="仿宋" w:eastAsia="仿宋" w:cs="Times New Roman"/>
          <w:sz w:val="24"/>
          <w:szCs w:val="24"/>
        </w:rPr>
        <w:t>2、供应地点：</w:t>
      </w:r>
      <w:r>
        <w:rPr>
          <w:rFonts w:hint="eastAsia" w:ascii="仿宋" w:hAnsi="仿宋" w:eastAsia="仿宋" w:cs="Times New Roman"/>
          <w:sz w:val="24"/>
          <w:szCs w:val="24"/>
          <w:u w:val="single"/>
          <w:lang w:val="en-US" w:eastAsia="zh-CN"/>
        </w:rPr>
        <w:t xml:space="preserve">         </w:t>
      </w:r>
    </w:p>
    <w:p w14:paraId="1DD76B9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3、供货时间：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月起至</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月止（具体以甲方的需求计划为准）。</w:t>
      </w:r>
    </w:p>
    <w:p w14:paraId="5C4EF9B0">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 xml:space="preserve">4、材料品种、规格、数量、单价、金额 </w:t>
      </w:r>
    </w:p>
    <w:tbl>
      <w:tblPr>
        <w:tblStyle w:val="10"/>
        <w:tblW w:w="8781" w:type="dxa"/>
        <w:tblInd w:w="93" w:type="dxa"/>
        <w:tblLayout w:type="fixed"/>
        <w:tblCellMar>
          <w:top w:w="0" w:type="dxa"/>
          <w:left w:w="108" w:type="dxa"/>
          <w:bottom w:w="0" w:type="dxa"/>
          <w:right w:w="108" w:type="dxa"/>
        </w:tblCellMar>
      </w:tblPr>
      <w:tblGrid>
        <w:gridCol w:w="1131"/>
        <w:gridCol w:w="1578"/>
        <w:gridCol w:w="912"/>
        <w:gridCol w:w="1125"/>
        <w:gridCol w:w="1095"/>
        <w:gridCol w:w="1875"/>
        <w:gridCol w:w="1065"/>
      </w:tblGrid>
      <w:tr w14:paraId="4D307FAD">
        <w:tblPrEx>
          <w:tblCellMar>
            <w:top w:w="0" w:type="dxa"/>
            <w:left w:w="108" w:type="dxa"/>
            <w:bottom w:w="0" w:type="dxa"/>
            <w:right w:w="108" w:type="dxa"/>
          </w:tblCellMar>
        </w:tblPrEx>
        <w:trPr>
          <w:trHeight w:val="551" w:hRule="atLeast"/>
        </w:trPr>
        <w:tc>
          <w:tcPr>
            <w:tcW w:w="1131" w:type="dxa"/>
            <w:vMerge w:val="restart"/>
            <w:tcBorders>
              <w:top w:val="single" w:color="auto" w:sz="4" w:space="0"/>
              <w:left w:val="single" w:color="auto" w:sz="4" w:space="0"/>
              <w:right w:val="single" w:color="auto" w:sz="4" w:space="0"/>
            </w:tcBorders>
            <w:noWrap w:val="0"/>
            <w:vAlign w:val="center"/>
          </w:tcPr>
          <w:p w14:paraId="322C5607">
            <w:pPr>
              <w:widowControl/>
              <w:jc w:val="center"/>
              <w:rPr>
                <w:rFonts w:ascii="仿宋" w:hAnsi="仿宋" w:eastAsia="仿宋" w:cs="Times New Roman"/>
                <w:b/>
                <w:bCs/>
                <w:sz w:val="24"/>
                <w:szCs w:val="24"/>
                <w:lang w:val="zh-CN"/>
              </w:rPr>
            </w:pPr>
            <w:r>
              <w:rPr>
                <w:rFonts w:hint="eastAsia" w:ascii="仿宋" w:hAnsi="仿宋" w:eastAsia="仿宋" w:cs="Times New Roman"/>
                <w:b/>
                <w:bCs/>
                <w:sz w:val="24"/>
                <w:szCs w:val="24"/>
                <w:lang w:val="zh-CN"/>
              </w:rPr>
              <w:t>材料名称</w:t>
            </w:r>
          </w:p>
        </w:tc>
        <w:tc>
          <w:tcPr>
            <w:tcW w:w="1578" w:type="dxa"/>
            <w:vMerge w:val="restart"/>
            <w:tcBorders>
              <w:top w:val="single" w:color="auto" w:sz="4" w:space="0"/>
              <w:left w:val="single" w:color="auto" w:sz="4" w:space="0"/>
              <w:right w:val="single" w:color="auto" w:sz="4" w:space="0"/>
            </w:tcBorders>
            <w:noWrap w:val="0"/>
            <w:vAlign w:val="center"/>
          </w:tcPr>
          <w:p w14:paraId="205A0E92">
            <w:pPr>
              <w:widowControl/>
              <w:jc w:val="center"/>
              <w:rPr>
                <w:rFonts w:ascii="仿宋" w:hAnsi="仿宋" w:eastAsia="仿宋" w:cs="Times New Roman"/>
                <w:b/>
                <w:bCs/>
                <w:sz w:val="24"/>
                <w:szCs w:val="24"/>
                <w:lang w:val="zh-CN"/>
              </w:rPr>
            </w:pPr>
            <w:r>
              <w:rPr>
                <w:rFonts w:hint="eastAsia" w:ascii="仿宋" w:hAnsi="仿宋" w:eastAsia="仿宋" w:cs="Times New Roman"/>
                <w:b/>
                <w:bCs/>
                <w:sz w:val="24"/>
                <w:szCs w:val="24"/>
                <w:lang w:val="zh-CN"/>
              </w:rPr>
              <w:t>规格</w:t>
            </w:r>
          </w:p>
        </w:tc>
        <w:tc>
          <w:tcPr>
            <w:tcW w:w="912" w:type="dxa"/>
            <w:vMerge w:val="restart"/>
            <w:tcBorders>
              <w:top w:val="single" w:color="auto" w:sz="4" w:space="0"/>
              <w:left w:val="single" w:color="auto" w:sz="4" w:space="0"/>
              <w:right w:val="single" w:color="auto" w:sz="4" w:space="0"/>
            </w:tcBorders>
            <w:noWrap w:val="0"/>
            <w:vAlign w:val="center"/>
          </w:tcPr>
          <w:p w14:paraId="40CFD17D">
            <w:pPr>
              <w:widowControl/>
              <w:jc w:val="center"/>
              <w:rPr>
                <w:rFonts w:ascii="仿宋" w:hAnsi="仿宋" w:eastAsia="仿宋" w:cs="Times New Roman"/>
                <w:b/>
                <w:bCs/>
                <w:sz w:val="24"/>
                <w:szCs w:val="24"/>
                <w:lang w:val="zh-CN"/>
              </w:rPr>
            </w:pPr>
            <w:r>
              <w:rPr>
                <w:rFonts w:hint="eastAsia" w:ascii="仿宋" w:hAnsi="仿宋" w:eastAsia="仿宋" w:cs="Times New Roman"/>
                <w:b/>
                <w:bCs/>
                <w:sz w:val="24"/>
                <w:szCs w:val="24"/>
              </w:rPr>
              <w:t>单位</w:t>
            </w:r>
          </w:p>
        </w:tc>
        <w:tc>
          <w:tcPr>
            <w:tcW w:w="1125" w:type="dxa"/>
            <w:vMerge w:val="restart"/>
            <w:tcBorders>
              <w:top w:val="single" w:color="auto" w:sz="4" w:space="0"/>
              <w:left w:val="single" w:color="auto" w:sz="4" w:space="0"/>
              <w:right w:val="single" w:color="auto" w:sz="4" w:space="0"/>
            </w:tcBorders>
            <w:noWrap w:val="0"/>
            <w:vAlign w:val="center"/>
          </w:tcPr>
          <w:p w14:paraId="0F497E6B">
            <w:pPr>
              <w:widowControl/>
              <w:jc w:val="center"/>
              <w:rPr>
                <w:rFonts w:hint="eastAsia" w:ascii="仿宋" w:hAnsi="仿宋" w:eastAsia="仿宋" w:cs="Times New Roman"/>
                <w:b/>
                <w:bCs/>
                <w:sz w:val="24"/>
                <w:szCs w:val="24"/>
              </w:rPr>
            </w:pPr>
            <w:r>
              <w:rPr>
                <w:rFonts w:hint="eastAsia" w:ascii="仿宋" w:hAnsi="仿宋" w:eastAsia="仿宋" w:cs="Times New Roman"/>
                <w:b/>
                <w:bCs/>
                <w:sz w:val="24"/>
                <w:szCs w:val="24"/>
              </w:rPr>
              <w:t>数量</w:t>
            </w:r>
          </w:p>
        </w:tc>
        <w:tc>
          <w:tcPr>
            <w:tcW w:w="2970" w:type="dxa"/>
            <w:gridSpan w:val="2"/>
            <w:tcBorders>
              <w:top w:val="single" w:color="auto" w:sz="4" w:space="0"/>
              <w:left w:val="single" w:color="auto" w:sz="4" w:space="0"/>
              <w:bottom w:val="single" w:color="000000" w:sz="4" w:space="0"/>
              <w:right w:val="single" w:color="auto" w:sz="4" w:space="0"/>
            </w:tcBorders>
            <w:noWrap w:val="0"/>
            <w:vAlign w:val="center"/>
          </w:tcPr>
          <w:p w14:paraId="2844C87C">
            <w:pPr>
              <w:widowControl/>
              <w:jc w:val="center"/>
              <w:rPr>
                <w:rFonts w:ascii="仿宋" w:hAnsi="仿宋" w:eastAsia="仿宋" w:cs="Times New Roman"/>
                <w:b/>
                <w:bCs/>
                <w:sz w:val="24"/>
                <w:szCs w:val="24"/>
                <w:lang w:val="zh-CN"/>
              </w:rPr>
            </w:pPr>
            <w:r>
              <w:rPr>
                <w:rFonts w:hint="eastAsia" w:ascii="仿宋" w:hAnsi="仿宋" w:eastAsia="仿宋" w:cs="仿宋"/>
                <w:b/>
                <w:bCs/>
                <w:color w:val="000000"/>
                <w:kern w:val="0"/>
                <w:sz w:val="22"/>
                <w:szCs w:val="22"/>
                <w:lang w:bidi="ar"/>
              </w:rPr>
              <w:t>不含增值税金额（元）</w:t>
            </w:r>
          </w:p>
        </w:tc>
        <w:tc>
          <w:tcPr>
            <w:tcW w:w="1065" w:type="dxa"/>
            <w:vMerge w:val="restart"/>
            <w:tcBorders>
              <w:top w:val="single" w:color="auto" w:sz="4" w:space="0"/>
              <w:left w:val="single" w:color="auto" w:sz="4" w:space="0"/>
              <w:right w:val="single" w:color="auto" w:sz="4" w:space="0"/>
            </w:tcBorders>
            <w:noWrap w:val="0"/>
            <w:vAlign w:val="center"/>
          </w:tcPr>
          <w:p w14:paraId="064C9C52">
            <w:pPr>
              <w:widowControl/>
              <w:jc w:val="center"/>
              <w:rPr>
                <w:rFonts w:ascii="仿宋" w:hAnsi="仿宋" w:eastAsia="仿宋" w:cs="Times New Roman"/>
                <w:b/>
                <w:bCs/>
                <w:sz w:val="24"/>
                <w:szCs w:val="24"/>
                <w:lang w:val="zh-CN"/>
              </w:rPr>
            </w:pPr>
            <w:r>
              <w:rPr>
                <w:rFonts w:hint="eastAsia" w:ascii="仿宋" w:hAnsi="仿宋" w:eastAsia="仿宋" w:cs="Times New Roman"/>
                <w:b/>
                <w:bCs/>
                <w:sz w:val="24"/>
                <w:szCs w:val="24"/>
                <w:lang w:val="zh-CN"/>
              </w:rPr>
              <w:t>备注</w:t>
            </w:r>
          </w:p>
        </w:tc>
      </w:tr>
      <w:tr w14:paraId="2D3F0017">
        <w:tblPrEx>
          <w:tblCellMar>
            <w:top w:w="0" w:type="dxa"/>
            <w:left w:w="108" w:type="dxa"/>
            <w:bottom w:w="0" w:type="dxa"/>
            <w:right w:w="108" w:type="dxa"/>
          </w:tblCellMar>
        </w:tblPrEx>
        <w:trPr>
          <w:trHeight w:val="551" w:hRule="atLeast"/>
        </w:trPr>
        <w:tc>
          <w:tcPr>
            <w:tcW w:w="1131" w:type="dxa"/>
            <w:vMerge w:val="continue"/>
            <w:tcBorders>
              <w:left w:val="single" w:color="auto" w:sz="4" w:space="0"/>
              <w:bottom w:val="single" w:color="000000" w:sz="4" w:space="0"/>
              <w:right w:val="single" w:color="auto" w:sz="4" w:space="0"/>
            </w:tcBorders>
            <w:noWrap w:val="0"/>
            <w:vAlign w:val="center"/>
          </w:tcPr>
          <w:p w14:paraId="1108E86F">
            <w:pPr>
              <w:widowControl/>
              <w:jc w:val="center"/>
              <w:rPr>
                <w:rFonts w:ascii="Times New Roman" w:hAnsi="Times New Roman" w:eastAsia="宋体" w:cs="Times New Roman"/>
                <w:szCs w:val="20"/>
              </w:rPr>
            </w:pPr>
          </w:p>
        </w:tc>
        <w:tc>
          <w:tcPr>
            <w:tcW w:w="1578" w:type="dxa"/>
            <w:vMerge w:val="continue"/>
            <w:tcBorders>
              <w:left w:val="single" w:color="auto" w:sz="4" w:space="0"/>
              <w:bottom w:val="single" w:color="000000" w:sz="4" w:space="0"/>
              <w:right w:val="single" w:color="auto" w:sz="4" w:space="0"/>
            </w:tcBorders>
            <w:noWrap w:val="0"/>
            <w:vAlign w:val="center"/>
          </w:tcPr>
          <w:p w14:paraId="49EDF43D">
            <w:pPr>
              <w:widowControl/>
              <w:jc w:val="center"/>
              <w:rPr>
                <w:rFonts w:ascii="Times New Roman" w:hAnsi="Times New Roman" w:eastAsia="宋体" w:cs="Times New Roman"/>
                <w:szCs w:val="20"/>
              </w:rPr>
            </w:pPr>
          </w:p>
        </w:tc>
        <w:tc>
          <w:tcPr>
            <w:tcW w:w="912" w:type="dxa"/>
            <w:vMerge w:val="continue"/>
            <w:tcBorders>
              <w:left w:val="single" w:color="auto" w:sz="4" w:space="0"/>
              <w:bottom w:val="single" w:color="auto" w:sz="4" w:space="0"/>
              <w:right w:val="single" w:color="auto" w:sz="4" w:space="0"/>
            </w:tcBorders>
            <w:noWrap w:val="0"/>
            <w:vAlign w:val="center"/>
          </w:tcPr>
          <w:p w14:paraId="47B2EA7A">
            <w:pPr>
              <w:widowControl/>
              <w:jc w:val="center"/>
              <w:rPr>
                <w:rFonts w:ascii="Times New Roman" w:hAnsi="Times New Roman" w:eastAsia="宋体" w:cs="Times New Roman"/>
                <w:szCs w:val="20"/>
              </w:rPr>
            </w:pPr>
          </w:p>
        </w:tc>
        <w:tc>
          <w:tcPr>
            <w:tcW w:w="1125" w:type="dxa"/>
            <w:vMerge w:val="continue"/>
            <w:tcBorders>
              <w:left w:val="single" w:color="auto" w:sz="4" w:space="0"/>
              <w:bottom w:val="single" w:color="000000" w:sz="4" w:space="0"/>
              <w:right w:val="single" w:color="auto" w:sz="4" w:space="0"/>
            </w:tcBorders>
            <w:noWrap w:val="0"/>
            <w:vAlign w:val="center"/>
          </w:tcPr>
          <w:p w14:paraId="75E4D28F">
            <w:pPr>
              <w:widowControl/>
              <w:jc w:val="center"/>
              <w:rPr>
                <w:rFonts w:ascii="Times New Roman" w:hAnsi="Times New Roman" w:eastAsia="宋体" w:cs="Times New Roman"/>
                <w:szCs w:val="20"/>
              </w:rPr>
            </w:pPr>
          </w:p>
        </w:tc>
        <w:tc>
          <w:tcPr>
            <w:tcW w:w="1095" w:type="dxa"/>
            <w:tcBorders>
              <w:top w:val="single" w:color="auto" w:sz="4" w:space="0"/>
              <w:left w:val="single" w:color="auto" w:sz="4" w:space="0"/>
              <w:bottom w:val="single" w:color="000000" w:sz="4" w:space="0"/>
              <w:right w:val="single" w:color="auto" w:sz="4" w:space="0"/>
            </w:tcBorders>
            <w:noWrap w:val="0"/>
            <w:vAlign w:val="center"/>
          </w:tcPr>
          <w:p w14:paraId="6FD98CEF">
            <w:pPr>
              <w:widowControl/>
              <w:jc w:val="center"/>
              <w:textAlignment w:val="center"/>
              <w:rPr>
                <w:rFonts w:hint="eastAsia" w:ascii="仿宋" w:hAnsi="仿宋" w:eastAsia="仿宋" w:cs="Times New Roman"/>
                <w:sz w:val="24"/>
                <w:szCs w:val="24"/>
                <w:lang w:val="zh-CN"/>
              </w:rPr>
            </w:pPr>
            <w:r>
              <w:rPr>
                <w:rFonts w:hint="eastAsia" w:ascii="仿宋" w:hAnsi="仿宋" w:eastAsia="仿宋" w:cs="仿宋"/>
                <w:b/>
                <w:bCs/>
                <w:color w:val="000000"/>
                <w:kern w:val="0"/>
                <w:sz w:val="22"/>
                <w:szCs w:val="22"/>
                <w:lang w:bidi="ar"/>
              </w:rPr>
              <w:t>单价</w:t>
            </w:r>
          </w:p>
        </w:tc>
        <w:tc>
          <w:tcPr>
            <w:tcW w:w="1875" w:type="dxa"/>
            <w:tcBorders>
              <w:top w:val="single" w:color="auto" w:sz="4" w:space="0"/>
              <w:left w:val="single" w:color="auto" w:sz="4" w:space="0"/>
              <w:bottom w:val="single" w:color="000000" w:sz="4" w:space="0"/>
              <w:right w:val="single" w:color="auto" w:sz="4" w:space="0"/>
            </w:tcBorders>
            <w:noWrap w:val="0"/>
            <w:vAlign w:val="center"/>
          </w:tcPr>
          <w:p w14:paraId="3995132D">
            <w:pPr>
              <w:widowControl/>
              <w:jc w:val="center"/>
              <w:textAlignment w:val="center"/>
              <w:rPr>
                <w:rFonts w:hint="eastAsia" w:ascii="仿宋" w:hAnsi="仿宋" w:eastAsia="仿宋" w:cs="Times New Roman"/>
                <w:sz w:val="24"/>
                <w:szCs w:val="24"/>
                <w:lang w:val="zh-CN"/>
              </w:rPr>
            </w:pPr>
            <w:r>
              <w:rPr>
                <w:rFonts w:hint="eastAsia" w:ascii="仿宋" w:hAnsi="仿宋" w:eastAsia="仿宋" w:cs="仿宋"/>
                <w:b/>
                <w:bCs/>
                <w:color w:val="000000"/>
                <w:kern w:val="0"/>
                <w:sz w:val="22"/>
                <w:szCs w:val="22"/>
                <w:lang w:bidi="ar"/>
              </w:rPr>
              <w:t>合计</w:t>
            </w:r>
          </w:p>
        </w:tc>
        <w:tc>
          <w:tcPr>
            <w:tcW w:w="1065" w:type="dxa"/>
            <w:vMerge w:val="continue"/>
            <w:tcBorders>
              <w:left w:val="single" w:color="auto" w:sz="4" w:space="0"/>
              <w:bottom w:val="single" w:color="auto" w:sz="4" w:space="0"/>
              <w:right w:val="single" w:color="auto" w:sz="4" w:space="0"/>
            </w:tcBorders>
            <w:noWrap w:val="0"/>
            <w:vAlign w:val="center"/>
          </w:tcPr>
          <w:p w14:paraId="59E30F53">
            <w:pPr>
              <w:widowControl/>
              <w:jc w:val="center"/>
              <w:rPr>
                <w:rFonts w:hint="eastAsia" w:ascii="仿宋" w:hAnsi="仿宋" w:eastAsia="仿宋" w:cs="Times New Roman"/>
                <w:sz w:val="24"/>
                <w:szCs w:val="24"/>
                <w:lang w:val="zh-CN"/>
              </w:rPr>
            </w:pPr>
          </w:p>
        </w:tc>
      </w:tr>
      <w:tr w14:paraId="3BEF4B7E">
        <w:tblPrEx>
          <w:tblCellMar>
            <w:top w:w="0" w:type="dxa"/>
            <w:left w:w="108" w:type="dxa"/>
            <w:bottom w:w="0" w:type="dxa"/>
            <w:right w:w="108" w:type="dxa"/>
          </w:tblCellMar>
        </w:tblPrEx>
        <w:trPr>
          <w:trHeight w:val="285" w:hRule="atLeast"/>
        </w:trPr>
        <w:tc>
          <w:tcPr>
            <w:tcW w:w="1131" w:type="dxa"/>
            <w:tcBorders>
              <w:top w:val="nil"/>
              <w:left w:val="single" w:color="auto" w:sz="4" w:space="0"/>
              <w:bottom w:val="single" w:color="auto" w:sz="4" w:space="0"/>
              <w:right w:val="single" w:color="auto" w:sz="4" w:space="0"/>
            </w:tcBorders>
            <w:noWrap w:val="0"/>
            <w:vAlign w:val="center"/>
          </w:tcPr>
          <w:p w14:paraId="20E12787">
            <w:pPr>
              <w:keepNext w:val="0"/>
              <w:keepLines w:val="0"/>
              <w:widowControl/>
              <w:suppressLineNumbers w:val="0"/>
              <w:jc w:val="center"/>
              <w:textAlignment w:val="center"/>
              <w:rPr>
                <w:rFonts w:hint="eastAsia"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回填砂</w:t>
            </w:r>
          </w:p>
        </w:tc>
        <w:tc>
          <w:tcPr>
            <w:tcW w:w="1578" w:type="dxa"/>
            <w:tcBorders>
              <w:top w:val="nil"/>
              <w:left w:val="nil"/>
              <w:bottom w:val="single" w:color="auto" w:sz="4" w:space="0"/>
              <w:right w:val="single" w:color="auto" w:sz="4" w:space="0"/>
            </w:tcBorders>
            <w:noWrap w:val="0"/>
            <w:vAlign w:val="center"/>
          </w:tcPr>
          <w:p w14:paraId="058286DB">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w:t>
            </w:r>
          </w:p>
        </w:tc>
        <w:tc>
          <w:tcPr>
            <w:tcW w:w="912" w:type="dxa"/>
            <w:tcBorders>
              <w:top w:val="nil"/>
              <w:left w:val="nil"/>
              <w:bottom w:val="single" w:color="auto" w:sz="4" w:space="0"/>
              <w:right w:val="single" w:color="auto" w:sz="4" w:space="0"/>
            </w:tcBorders>
            <w:noWrap w:val="0"/>
            <w:vAlign w:val="center"/>
          </w:tcPr>
          <w:p w14:paraId="74617218">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m3</w:t>
            </w:r>
          </w:p>
        </w:tc>
        <w:tc>
          <w:tcPr>
            <w:tcW w:w="1125" w:type="dxa"/>
            <w:tcBorders>
              <w:top w:val="nil"/>
              <w:left w:val="nil"/>
              <w:bottom w:val="single" w:color="auto" w:sz="4" w:space="0"/>
              <w:right w:val="single" w:color="auto" w:sz="4" w:space="0"/>
            </w:tcBorders>
            <w:noWrap w:val="0"/>
            <w:vAlign w:val="center"/>
          </w:tcPr>
          <w:p w14:paraId="0EEE53C3">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16090.5</w:t>
            </w:r>
          </w:p>
        </w:tc>
        <w:tc>
          <w:tcPr>
            <w:tcW w:w="1095" w:type="dxa"/>
            <w:tcBorders>
              <w:top w:val="nil"/>
              <w:left w:val="nil"/>
              <w:bottom w:val="single" w:color="auto" w:sz="4" w:space="0"/>
              <w:right w:val="single" w:color="auto" w:sz="4" w:space="0"/>
            </w:tcBorders>
            <w:noWrap w:val="0"/>
            <w:vAlign w:val="center"/>
          </w:tcPr>
          <w:p w14:paraId="7DA58518">
            <w:pPr>
              <w:keepNext w:val="0"/>
              <w:keepLines w:val="0"/>
              <w:widowControl/>
              <w:suppressLineNumbers w:val="0"/>
              <w:jc w:val="center"/>
              <w:textAlignment w:val="center"/>
              <w:rPr>
                <w:rFonts w:hint="default" w:ascii="仿宋" w:hAnsi="仿宋" w:eastAsia="仿宋" w:cs="Times New Roman"/>
                <w:sz w:val="20"/>
                <w:szCs w:val="20"/>
                <w:lang w:val="en-US"/>
              </w:rPr>
            </w:pPr>
          </w:p>
        </w:tc>
        <w:tc>
          <w:tcPr>
            <w:tcW w:w="1875" w:type="dxa"/>
            <w:tcBorders>
              <w:top w:val="nil"/>
              <w:left w:val="nil"/>
              <w:bottom w:val="single" w:color="auto" w:sz="4" w:space="0"/>
              <w:right w:val="single" w:color="auto" w:sz="4" w:space="0"/>
            </w:tcBorders>
            <w:noWrap w:val="0"/>
            <w:vAlign w:val="center"/>
          </w:tcPr>
          <w:p w14:paraId="6FEB4E1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065" w:type="dxa"/>
            <w:tcBorders>
              <w:top w:val="nil"/>
              <w:left w:val="nil"/>
              <w:bottom w:val="single" w:color="auto" w:sz="4" w:space="0"/>
              <w:right w:val="single" w:color="auto" w:sz="4" w:space="0"/>
            </w:tcBorders>
            <w:noWrap w:val="0"/>
            <w:vAlign w:val="center"/>
          </w:tcPr>
          <w:p w14:paraId="2E540EF9">
            <w:pPr>
              <w:widowControl/>
              <w:jc w:val="center"/>
              <w:rPr>
                <w:rFonts w:hint="eastAsia" w:ascii="仿宋" w:hAnsi="仿宋" w:eastAsia="仿宋" w:cs="宋体"/>
                <w:kern w:val="0"/>
                <w:sz w:val="20"/>
                <w:szCs w:val="20"/>
              </w:rPr>
            </w:pPr>
          </w:p>
        </w:tc>
      </w:tr>
      <w:tr w14:paraId="013DB47D">
        <w:tblPrEx>
          <w:tblCellMar>
            <w:top w:w="0" w:type="dxa"/>
            <w:left w:w="108" w:type="dxa"/>
            <w:bottom w:w="0" w:type="dxa"/>
            <w:right w:w="108" w:type="dxa"/>
          </w:tblCellMar>
        </w:tblPrEx>
        <w:trPr>
          <w:trHeight w:val="285" w:hRule="atLeast"/>
        </w:trPr>
        <w:tc>
          <w:tcPr>
            <w:tcW w:w="1131" w:type="dxa"/>
            <w:tcBorders>
              <w:top w:val="nil"/>
              <w:left w:val="single" w:color="auto" w:sz="4" w:space="0"/>
              <w:bottom w:val="single" w:color="auto" w:sz="4" w:space="0"/>
              <w:right w:val="single" w:color="auto" w:sz="4" w:space="0"/>
            </w:tcBorders>
            <w:noWrap w:val="0"/>
            <w:vAlign w:val="center"/>
          </w:tcPr>
          <w:p w14:paraId="1F78BFFC">
            <w:pPr>
              <w:keepNext w:val="0"/>
              <w:keepLines w:val="0"/>
              <w:widowControl/>
              <w:suppressLineNumbers w:val="0"/>
              <w:jc w:val="center"/>
              <w:textAlignment w:val="center"/>
              <w:rPr>
                <w:rFonts w:hint="eastAsia"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碎石</w:t>
            </w:r>
          </w:p>
        </w:tc>
        <w:tc>
          <w:tcPr>
            <w:tcW w:w="1578" w:type="dxa"/>
            <w:tcBorders>
              <w:top w:val="nil"/>
              <w:left w:val="nil"/>
              <w:bottom w:val="single" w:color="auto" w:sz="4" w:space="0"/>
              <w:right w:val="single" w:color="auto" w:sz="4" w:space="0"/>
            </w:tcBorders>
            <w:noWrap w:val="0"/>
            <w:vAlign w:val="center"/>
          </w:tcPr>
          <w:p w14:paraId="22D3C2C8">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 xml:space="preserve"> 20～40</w:t>
            </w:r>
          </w:p>
        </w:tc>
        <w:tc>
          <w:tcPr>
            <w:tcW w:w="912" w:type="dxa"/>
            <w:tcBorders>
              <w:top w:val="nil"/>
              <w:left w:val="nil"/>
              <w:bottom w:val="single" w:color="auto" w:sz="4" w:space="0"/>
              <w:right w:val="single" w:color="auto" w:sz="4" w:space="0"/>
            </w:tcBorders>
            <w:noWrap w:val="0"/>
            <w:vAlign w:val="center"/>
          </w:tcPr>
          <w:p w14:paraId="60060166">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m3</w:t>
            </w:r>
          </w:p>
        </w:tc>
        <w:tc>
          <w:tcPr>
            <w:tcW w:w="1125" w:type="dxa"/>
            <w:tcBorders>
              <w:top w:val="nil"/>
              <w:left w:val="nil"/>
              <w:bottom w:val="single" w:color="auto" w:sz="4" w:space="0"/>
              <w:right w:val="single" w:color="auto" w:sz="4" w:space="0"/>
            </w:tcBorders>
            <w:noWrap w:val="0"/>
            <w:vAlign w:val="center"/>
          </w:tcPr>
          <w:p w14:paraId="7CA45394">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1051.63</w:t>
            </w:r>
          </w:p>
        </w:tc>
        <w:tc>
          <w:tcPr>
            <w:tcW w:w="1095" w:type="dxa"/>
            <w:tcBorders>
              <w:top w:val="nil"/>
              <w:left w:val="nil"/>
              <w:bottom w:val="single" w:color="auto" w:sz="4" w:space="0"/>
              <w:right w:val="single" w:color="auto" w:sz="4" w:space="0"/>
            </w:tcBorders>
            <w:noWrap w:val="0"/>
            <w:vAlign w:val="center"/>
          </w:tcPr>
          <w:p w14:paraId="6EBF0E6B">
            <w:pPr>
              <w:keepNext w:val="0"/>
              <w:keepLines w:val="0"/>
              <w:widowControl/>
              <w:suppressLineNumbers w:val="0"/>
              <w:jc w:val="center"/>
              <w:textAlignment w:val="center"/>
              <w:rPr>
                <w:rFonts w:ascii="仿宋" w:hAnsi="仿宋" w:eastAsia="仿宋" w:cs="Times New Roman"/>
                <w:sz w:val="20"/>
                <w:szCs w:val="20"/>
              </w:rPr>
            </w:pPr>
          </w:p>
        </w:tc>
        <w:tc>
          <w:tcPr>
            <w:tcW w:w="1875" w:type="dxa"/>
            <w:tcBorders>
              <w:top w:val="nil"/>
              <w:left w:val="nil"/>
              <w:bottom w:val="single" w:color="auto" w:sz="4" w:space="0"/>
              <w:right w:val="single" w:color="auto" w:sz="4" w:space="0"/>
            </w:tcBorders>
            <w:noWrap w:val="0"/>
            <w:vAlign w:val="center"/>
          </w:tcPr>
          <w:p w14:paraId="107B1CD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065" w:type="dxa"/>
            <w:tcBorders>
              <w:top w:val="nil"/>
              <w:left w:val="nil"/>
              <w:bottom w:val="single" w:color="auto" w:sz="4" w:space="0"/>
              <w:right w:val="single" w:color="auto" w:sz="4" w:space="0"/>
            </w:tcBorders>
            <w:noWrap w:val="0"/>
            <w:vAlign w:val="center"/>
          </w:tcPr>
          <w:p w14:paraId="36EB96A6">
            <w:pPr>
              <w:widowControl/>
              <w:jc w:val="center"/>
              <w:rPr>
                <w:rFonts w:hint="eastAsia" w:ascii="仿宋" w:hAnsi="仿宋" w:eastAsia="仿宋" w:cs="宋体"/>
                <w:kern w:val="0"/>
                <w:sz w:val="20"/>
                <w:szCs w:val="20"/>
              </w:rPr>
            </w:pPr>
          </w:p>
        </w:tc>
      </w:tr>
      <w:tr w14:paraId="71350D98">
        <w:tblPrEx>
          <w:tblCellMar>
            <w:top w:w="0" w:type="dxa"/>
            <w:left w:w="108" w:type="dxa"/>
            <w:bottom w:w="0" w:type="dxa"/>
            <w:right w:w="108" w:type="dxa"/>
          </w:tblCellMar>
        </w:tblPrEx>
        <w:trPr>
          <w:trHeight w:val="285" w:hRule="atLeast"/>
        </w:trPr>
        <w:tc>
          <w:tcPr>
            <w:tcW w:w="1131" w:type="dxa"/>
            <w:tcBorders>
              <w:top w:val="nil"/>
              <w:left w:val="single" w:color="auto" w:sz="4" w:space="0"/>
              <w:bottom w:val="single" w:color="auto" w:sz="4" w:space="0"/>
              <w:right w:val="single" w:color="auto" w:sz="4" w:space="0"/>
            </w:tcBorders>
            <w:noWrap w:val="0"/>
            <w:vAlign w:val="center"/>
          </w:tcPr>
          <w:p w14:paraId="21AC3B1C">
            <w:pPr>
              <w:keepNext w:val="0"/>
              <w:keepLines w:val="0"/>
              <w:widowControl/>
              <w:suppressLineNumbers w:val="0"/>
              <w:jc w:val="center"/>
              <w:textAlignment w:val="center"/>
              <w:rPr>
                <w:rFonts w:hint="eastAsia"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 xml:space="preserve">碎石 </w:t>
            </w:r>
          </w:p>
        </w:tc>
        <w:tc>
          <w:tcPr>
            <w:tcW w:w="1578" w:type="dxa"/>
            <w:tcBorders>
              <w:top w:val="nil"/>
              <w:left w:val="nil"/>
              <w:bottom w:val="single" w:color="auto" w:sz="4" w:space="0"/>
              <w:right w:val="single" w:color="auto" w:sz="4" w:space="0"/>
            </w:tcBorders>
            <w:noWrap w:val="0"/>
            <w:vAlign w:val="center"/>
          </w:tcPr>
          <w:p w14:paraId="7D75876E">
            <w:pPr>
              <w:keepNext w:val="0"/>
              <w:keepLines w:val="0"/>
              <w:widowControl/>
              <w:suppressLineNumbers w:val="0"/>
              <w:jc w:val="center"/>
              <w:textAlignment w:val="center"/>
              <w:rPr>
                <w:rFonts w:hint="eastAsia"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60</w:t>
            </w:r>
          </w:p>
        </w:tc>
        <w:tc>
          <w:tcPr>
            <w:tcW w:w="912" w:type="dxa"/>
            <w:tcBorders>
              <w:top w:val="nil"/>
              <w:left w:val="nil"/>
              <w:bottom w:val="single" w:color="auto" w:sz="4" w:space="0"/>
              <w:right w:val="single" w:color="auto" w:sz="4" w:space="0"/>
            </w:tcBorders>
            <w:noWrap w:val="0"/>
            <w:vAlign w:val="center"/>
          </w:tcPr>
          <w:p w14:paraId="2EC828E6">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m3</w:t>
            </w:r>
          </w:p>
        </w:tc>
        <w:tc>
          <w:tcPr>
            <w:tcW w:w="1125" w:type="dxa"/>
            <w:tcBorders>
              <w:top w:val="nil"/>
              <w:left w:val="nil"/>
              <w:bottom w:val="single" w:color="auto" w:sz="4" w:space="0"/>
              <w:right w:val="single" w:color="auto" w:sz="4" w:space="0"/>
            </w:tcBorders>
            <w:noWrap w:val="0"/>
            <w:vAlign w:val="center"/>
          </w:tcPr>
          <w:p w14:paraId="3620844C">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181.56</w:t>
            </w:r>
          </w:p>
        </w:tc>
        <w:tc>
          <w:tcPr>
            <w:tcW w:w="1095" w:type="dxa"/>
            <w:tcBorders>
              <w:top w:val="nil"/>
              <w:left w:val="nil"/>
              <w:bottom w:val="single" w:color="auto" w:sz="4" w:space="0"/>
              <w:right w:val="single" w:color="auto" w:sz="4" w:space="0"/>
            </w:tcBorders>
            <w:noWrap w:val="0"/>
            <w:vAlign w:val="center"/>
          </w:tcPr>
          <w:p w14:paraId="2D4011C4">
            <w:pPr>
              <w:keepNext w:val="0"/>
              <w:keepLines w:val="0"/>
              <w:widowControl/>
              <w:suppressLineNumbers w:val="0"/>
              <w:jc w:val="center"/>
              <w:textAlignment w:val="center"/>
              <w:rPr>
                <w:rFonts w:ascii="仿宋" w:hAnsi="仿宋" w:eastAsia="仿宋" w:cs="Times New Roman"/>
                <w:sz w:val="20"/>
                <w:szCs w:val="20"/>
              </w:rPr>
            </w:pPr>
          </w:p>
        </w:tc>
        <w:tc>
          <w:tcPr>
            <w:tcW w:w="1875" w:type="dxa"/>
            <w:tcBorders>
              <w:top w:val="nil"/>
              <w:left w:val="nil"/>
              <w:bottom w:val="single" w:color="auto" w:sz="4" w:space="0"/>
              <w:right w:val="single" w:color="auto" w:sz="4" w:space="0"/>
            </w:tcBorders>
            <w:noWrap w:val="0"/>
            <w:vAlign w:val="center"/>
          </w:tcPr>
          <w:p w14:paraId="557FB5A8">
            <w:pPr>
              <w:keepNext w:val="0"/>
              <w:keepLines w:val="0"/>
              <w:widowControl/>
              <w:suppressLineNumbers w:val="0"/>
              <w:jc w:val="center"/>
              <w:textAlignment w:val="center"/>
              <w:rPr>
                <w:rFonts w:ascii="仿宋" w:hAnsi="仿宋" w:eastAsia="仿宋" w:cs="Times New Roman"/>
                <w:sz w:val="20"/>
                <w:szCs w:val="20"/>
              </w:rPr>
            </w:pPr>
          </w:p>
        </w:tc>
        <w:tc>
          <w:tcPr>
            <w:tcW w:w="1065" w:type="dxa"/>
            <w:tcBorders>
              <w:top w:val="nil"/>
              <w:left w:val="nil"/>
              <w:bottom w:val="single" w:color="auto" w:sz="4" w:space="0"/>
              <w:right w:val="single" w:color="auto" w:sz="4" w:space="0"/>
            </w:tcBorders>
            <w:noWrap w:val="0"/>
            <w:vAlign w:val="center"/>
          </w:tcPr>
          <w:p w14:paraId="32E2B50A">
            <w:pPr>
              <w:widowControl/>
              <w:jc w:val="center"/>
              <w:rPr>
                <w:rFonts w:hint="eastAsia" w:ascii="仿宋" w:hAnsi="仿宋" w:eastAsia="仿宋" w:cs="宋体"/>
                <w:kern w:val="0"/>
                <w:sz w:val="20"/>
                <w:szCs w:val="20"/>
              </w:rPr>
            </w:pPr>
          </w:p>
        </w:tc>
      </w:tr>
      <w:tr w14:paraId="427A2B6E">
        <w:tblPrEx>
          <w:tblCellMar>
            <w:top w:w="0" w:type="dxa"/>
            <w:left w:w="108" w:type="dxa"/>
            <w:bottom w:w="0" w:type="dxa"/>
            <w:right w:w="108" w:type="dxa"/>
          </w:tblCellMar>
        </w:tblPrEx>
        <w:trPr>
          <w:trHeight w:val="285" w:hRule="atLeast"/>
        </w:trPr>
        <w:tc>
          <w:tcPr>
            <w:tcW w:w="1131" w:type="dxa"/>
            <w:tcBorders>
              <w:top w:val="nil"/>
              <w:left w:val="single" w:color="auto" w:sz="4" w:space="0"/>
              <w:bottom w:val="single" w:color="auto" w:sz="4" w:space="0"/>
              <w:right w:val="single" w:color="auto" w:sz="4" w:space="0"/>
            </w:tcBorders>
            <w:noWrap w:val="0"/>
            <w:vAlign w:val="center"/>
          </w:tcPr>
          <w:p w14:paraId="74EC0517">
            <w:pPr>
              <w:keepNext w:val="0"/>
              <w:keepLines w:val="0"/>
              <w:widowControl/>
              <w:suppressLineNumbers w:val="0"/>
              <w:jc w:val="center"/>
              <w:textAlignment w:val="center"/>
              <w:rPr>
                <w:rFonts w:hint="eastAsia"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片石</w:t>
            </w:r>
          </w:p>
        </w:tc>
        <w:tc>
          <w:tcPr>
            <w:tcW w:w="1578" w:type="dxa"/>
            <w:tcBorders>
              <w:top w:val="nil"/>
              <w:left w:val="nil"/>
              <w:bottom w:val="single" w:color="auto" w:sz="4" w:space="0"/>
              <w:right w:val="single" w:color="auto" w:sz="4" w:space="0"/>
            </w:tcBorders>
            <w:noWrap w:val="0"/>
            <w:vAlign w:val="center"/>
          </w:tcPr>
          <w:p w14:paraId="46682B83">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w:t>
            </w:r>
          </w:p>
        </w:tc>
        <w:tc>
          <w:tcPr>
            <w:tcW w:w="912" w:type="dxa"/>
            <w:tcBorders>
              <w:top w:val="nil"/>
              <w:left w:val="nil"/>
              <w:bottom w:val="single" w:color="auto" w:sz="4" w:space="0"/>
              <w:right w:val="single" w:color="auto" w:sz="4" w:space="0"/>
            </w:tcBorders>
            <w:noWrap w:val="0"/>
            <w:vAlign w:val="center"/>
          </w:tcPr>
          <w:p w14:paraId="00B2DDFD">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m3</w:t>
            </w:r>
          </w:p>
        </w:tc>
        <w:tc>
          <w:tcPr>
            <w:tcW w:w="1125" w:type="dxa"/>
            <w:tcBorders>
              <w:top w:val="nil"/>
              <w:left w:val="nil"/>
              <w:bottom w:val="single" w:color="auto" w:sz="4" w:space="0"/>
              <w:right w:val="single" w:color="auto" w:sz="4" w:space="0"/>
            </w:tcBorders>
            <w:noWrap w:val="0"/>
            <w:vAlign w:val="center"/>
          </w:tcPr>
          <w:p w14:paraId="30A96630">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440.84</w:t>
            </w:r>
          </w:p>
        </w:tc>
        <w:tc>
          <w:tcPr>
            <w:tcW w:w="1095" w:type="dxa"/>
            <w:tcBorders>
              <w:top w:val="nil"/>
              <w:left w:val="nil"/>
              <w:bottom w:val="single" w:color="auto" w:sz="4" w:space="0"/>
              <w:right w:val="single" w:color="auto" w:sz="4" w:space="0"/>
            </w:tcBorders>
            <w:noWrap w:val="0"/>
            <w:vAlign w:val="center"/>
          </w:tcPr>
          <w:p w14:paraId="169BF025">
            <w:pPr>
              <w:keepNext w:val="0"/>
              <w:keepLines w:val="0"/>
              <w:widowControl/>
              <w:suppressLineNumbers w:val="0"/>
              <w:jc w:val="center"/>
              <w:textAlignment w:val="center"/>
              <w:rPr>
                <w:rFonts w:ascii="仿宋" w:hAnsi="仿宋" w:eastAsia="仿宋" w:cs="Times New Roman"/>
                <w:sz w:val="20"/>
                <w:szCs w:val="20"/>
              </w:rPr>
            </w:pPr>
          </w:p>
        </w:tc>
        <w:tc>
          <w:tcPr>
            <w:tcW w:w="1875" w:type="dxa"/>
            <w:tcBorders>
              <w:top w:val="nil"/>
              <w:left w:val="nil"/>
              <w:bottom w:val="single" w:color="auto" w:sz="4" w:space="0"/>
              <w:right w:val="single" w:color="auto" w:sz="4" w:space="0"/>
            </w:tcBorders>
            <w:noWrap w:val="0"/>
            <w:vAlign w:val="center"/>
          </w:tcPr>
          <w:p w14:paraId="3DEAA3B2">
            <w:pPr>
              <w:keepNext w:val="0"/>
              <w:keepLines w:val="0"/>
              <w:widowControl/>
              <w:suppressLineNumbers w:val="0"/>
              <w:jc w:val="center"/>
              <w:textAlignment w:val="center"/>
              <w:rPr>
                <w:rFonts w:hint="eastAsia" w:ascii="仿宋" w:hAnsi="仿宋" w:eastAsia="仿宋" w:cs="Times New Roman"/>
                <w:sz w:val="20"/>
                <w:szCs w:val="20"/>
              </w:rPr>
            </w:pPr>
          </w:p>
        </w:tc>
        <w:tc>
          <w:tcPr>
            <w:tcW w:w="1065" w:type="dxa"/>
            <w:tcBorders>
              <w:top w:val="nil"/>
              <w:left w:val="nil"/>
              <w:bottom w:val="single" w:color="auto" w:sz="4" w:space="0"/>
              <w:right w:val="single" w:color="auto" w:sz="4" w:space="0"/>
            </w:tcBorders>
            <w:noWrap w:val="0"/>
            <w:vAlign w:val="center"/>
          </w:tcPr>
          <w:p w14:paraId="29E84F07">
            <w:pPr>
              <w:widowControl/>
              <w:jc w:val="center"/>
              <w:rPr>
                <w:rFonts w:hint="eastAsia" w:ascii="仿宋" w:hAnsi="仿宋" w:eastAsia="仿宋" w:cs="宋体"/>
                <w:kern w:val="0"/>
                <w:sz w:val="20"/>
                <w:szCs w:val="20"/>
              </w:rPr>
            </w:pPr>
          </w:p>
        </w:tc>
      </w:tr>
      <w:tr w14:paraId="045D9193">
        <w:tblPrEx>
          <w:tblCellMar>
            <w:top w:w="0" w:type="dxa"/>
            <w:left w:w="108" w:type="dxa"/>
            <w:bottom w:w="0" w:type="dxa"/>
            <w:right w:w="108" w:type="dxa"/>
          </w:tblCellMar>
        </w:tblPrEx>
        <w:trPr>
          <w:trHeight w:val="285" w:hRule="atLeast"/>
        </w:trPr>
        <w:tc>
          <w:tcPr>
            <w:tcW w:w="1131" w:type="dxa"/>
            <w:tcBorders>
              <w:top w:val="nil"/>
              <w:left w:val="single" w:color="auto" w:sz="4" w:space="0"/>
              <w:bottom w:val="single" w:color="auto" w:sz="4" w:space="0"/>
              <w:right w:val="single" w:color="auto" w:sz="4" w:space="0"/>
            </w:tcBorders>
            <w:noWrap w:val="0"/>
            <w:vAlign w:val="center"/>
          </w:tcPr>
          <w:p w14:paraId="51C8B089">
            <w:pPr>
              <w:keepNext w:val="0"/>
              <w:keepLines w:val="0"/>
              <w:widowControl/>
              <w:suppressLineNumbers w:val="0"/>
              <w:jc w:val="center"/>
              <w:textAlignment w:val="center"/>
              <w:rPr>
                <w:rFonts w:hint="eastAsia"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块石</w:t>
            </w:r>
          </w:p>
        </w:tc>
        <w:tc>
          <w:tcPr>
            <w:tcW w:w="1578" w:type="dxa"/>
            <w:tcBorders>
              <w:top w:val="nil"/>
              <w:left w:val="nil"/>
              <w:bottom w:val="single" w:color="auto" w:sz="4" w:space="0"/>
              <w:right w:val="single" w:color="auto" w:sz="4" w:space="0"/>
            </w:tcBorders>
            <w:noWrap w:val="0"/>
            <w:vAlign w:val="center"/>
          </w:tcPr>
          <w:p w14:paraId="43D0B97F">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w:t>
            </w:r>
          </w:p>
        </w:tc>
        <w:tc>
          <w:tcPr>
            <w:tcW w:w="912" w:type="dxa"/>
            <w:tcBorders>
              <w:top w:val="nil"/>
              <w:left w:val="nil"/>
              <w:bottom w:val="single" w:color="auto" w:sz="4" w:space="0"/>
              <w:right w:val="single" w:color="auto" w:sz="4" w:space="0"/>
            </w:tcBorders>
            <w:noWrap w:val="0"/>
            <w:vAlign w:val="center"/>
          </w:tcPr>
          <w:p w14:paraId="7E995B6A">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m3</w:t>
            </w:r>
          </w:p>
        </w:tc>
        <w:tc>
          <w:tcPr>
            <w:tcW w:w="1125" w:type="dxa"/>
            <w:tcBorders>
              <w:top w:val="nil"/>
              <w:left w:val="nil"/>
              <w:bottom w:val="single" w:color="auto" w:sz="4" w:space="0"/>
              <w:right w:val="single" w:color="auto" w:sz="4" w:space="0"/>
            </w:tcBorders>
            <w:noWrap w:val="0"/>
            <w:vAlign w:val="center"/>
          </w:tcPr>
          <w:p w14:paraId="43284227">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3376.34</w:t>
            </w:r>
          </w:p>
        </w:tc>
        <w:tc>
          <w:tcPr>
            <w:tcW w:w="1095" w:type="dxa"/>
            <w:tcBorders>
              <w:top w:val="nil"/>
              <w:left w:val="nil"/>
              <w:bottom w:val="single" w:color="auto" w:sz="4" w:space="0"/>
              <w:right w:val="single" w:color="auto" w:sz="4" w:space="0"/>
            </w:tcBorders>
            <w:noWrap w:val="0"/>
            <w:vAlign w:val="center"/>
          </w:tcPr>
          <w:p w14:paraId="75A92709">
            <w:pPr>
              <w:keepNext w:val="0"/>
              <w:keepLines w:val="0"/>
              <w:widowControl/>
              <w:suppressLineNumbers w:val="0"/>
              <w:jc w:val="center"/>
              <w:textAlignment w:val="center"/>
              <w:rPr>
                <w:rFonts w:ascii="仿宋" w:hAnsi="仿宋" w:eastAsia="仿宋" w:cs="Times New Roman"/>
                <w:sz w:val="20"/>
                <w:szCs w:val="20"/>
              </w:rPr>
            </w:pPr>
          </w:p>
        </w:tc>
        <w:tc>
          <w:tcPr>
            <w:tcW w:w="1875" w:type="dxa"/>
            <w:tcBorders>
              <w:top w:val="nil"/>
              <w:left w:val="nil"/>
              <w:bottom w:val="single" w:color="auto" w:sz="4" w:space="0"/>
              <w:right w:val="single" w:color="auto" w:sz="4" w:space="0"/>
            </w:tcBorders>
            <w:noWrap w:val="0"/>
            <w:vAlign w:val="center"/>
          </w:tcPr>
          <w:p w14:paraId="31D376B2">
            <w:pPr>
              <w:keepNext w:val="0"/>
              <w:keepLines w:val="0"/>
              <w:widowControl/>
              <w:suppressLineNumbers w:val="0"/>
              <w:jc w:val="center"/>
              <w:textAlignment w:val="center"/>
              <w:rPr>
                <w:rFonts w:ascii="仿宋" w:hAnsi="仿宋" w:eastAsia="仿宋" w:cs="Times New Roman"/>
                <w:sz w:val="20"/>
                <w:szCs w:val="20"/>
              </w:rPr>
            </w:pPr>
          </w:p>
        </w:tc>
        <w:tc>
          <w:tcPr>
            <w:tcW w:w="1065" w:type="dxa"/>
            <w:tcBorders>
              <w:top w:val="nil"/>
              <w:left w:val="nil"/>
              <w:bottom w:val="single" w:color="auto" w:sz="4" w:space="0"/>
              <w:right w:val="single" w:color="auto" w:sz="4" w:space="0"/>
            </w:tcBorders>
            <w:noWrap w:val="0"/>
            <w:vAlign w:val="center"/>
          </w:tcPr>
          <w:p w14:paraId="2A9DEDE9">
            <w:pPr>
              <w:widowControl/>
              <w:jc w:val="center"/>
              <w:rPr>
                <w:rFonts w:hint="eastAsia" w:ascii="仿宋" w:hAnsi="仿宋" w:eastAsia="仿宋" w:cs="宋体"/>
                <w:kern w:val="0"/>
                <w:sz w:val="20"/>
                <w:szCs w:val="20"/>
              </w:rPr>
            </w:pPr>
          </w:p>
        </w:tc>
      </w:tr>
      <w:tr w14:paraId="5EBD9A3F">
        <w:tblPrEx>
          <w:tblCellMar>
            <w:top w:w="0" w:type="dxa"/>
            <w:left w:w="108" w:type="dxa"/>
            <w:bottom w:w="0" w:type="dxa"/>
            <w:right w:w="108" w:type="dxa"/>
          </w:tblCellMar>
        </w:tblPrEx>
        <w:trPr>
          <w:trHeight w:val="285" w:hRule="atLeast"/>
        </w:trPr>
        <w:tc>
          <w:tcPr>
            <w:tcW w:w="1131" w:type="dxa"/>
            <w:tcBorders>
              <w:top w:val="nil"/>
              <w:left w:val="single" w:color="auto" w:sz="4" w:space="0"/>
              <w:bottom w:val="single" w:color="auto" w:sz="4" w:space="0"/>
              <w:right w:val="single" w:color="auto" w:sz="4" w:space="0"/>
            </w:tcBorders>
            <w:noWrap w:val="0"/>
            <w:vAlign w:val="center"/>
          </w:tcPr>
          <w:p w14:paraId="28BA3180">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2"/>
                <w:szCs w:val="22"/>
                <w:u w:val="none"/>
                <w:lang w:val="en-US" w:eastAsia="zh-CN" w:bidi="ar"/>
              </w:rPr>
              <w:t>石屑</w:t>
            </w:r>
          </w:p>
        </w:tc>
        <w:tc>
          <w:tcPr>
            <w:tcW w:w="1578" w:type="dxa"/>
            <w:tcBorders>
              <w:top w:val="nil"/>
              <w:left w:val="nil"/>
              <w:bottom w:val="single" w:color="auto" w:sz="4" w:space="0"/>
              <w:right w:val="single" w:color="auto" w:sz="4" w:space="0"/>
            </w:tcBorders>
            <w:noWrap w:val="0"/>
            <w:vAlign w:val="center"/>
          </w:tcPr>
          <w:p w14:paraId="1AB84160">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w:t>
            </w:r>
          </w:p>
        </w:tc>
        <w:tc>
          <w:tcPr>
            <w:tcW w:w="912" w:type="dxa"/>
            <w:tcBorders>
              <w:top w:val="nil"/>
              <w:left w:val="nil"/>
              <w:bottom w:val="single" w:color="auto" w:sz="4" w:space="0"/>
              <w:right w:val="single" w:color="auto" w:sz="4" w:space="0"/>
            </w:tcBorders>
            <w:noWrap w:val="0"/>
            <w:vAlign w:val="center"/>
          </w:tcPr>
          <w:p w14:paraId="034F0050">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4"/>
                <w:szCs w:val="24"/>
                <w:u w:val="none"/>
                <w:lang w:val="en-US" w:eastAsia="zh-CN" w:bidi="ar"/>
              </w:rPr>
              <w:t>m3</w:t>
            </w:r>
          </w:p>
        </w:tc>
        <w:tc>
          <w:tcPr>
            <w:tcW w:w="1125" w:type="dxa"/>
            <w:tcBorders>
              <w:top w:val="nil"/>
              <w:left w:val="nil"/>
              <w:bottom w:val="single" w:color="auto" w:sz="4" w:space="0"/>
              <w:right w:val="single" w:color="auto" w:sz="4" w:space="0"/>
            </w:tcBorders>
            <w:noWrap w:val="0"/>
            <w:vAlign w:val="center"/>
          </w:tcPr>
          <w:p w14:paraId="408D82BB">
            <w:pPr>
              <w:keepNext w:val="0"/>
              <w:keepLines w:val="0"/>
              <w:widowControl/>
              <w:suppressLineNumbers w:val="0"/>
              <w:jc w:val="center"/>
              <w:textAlignment w:val="center"/>
              <w:rPr>
                <w:rFonts w:ascii="仿宋" w:hAnsi="仿宋" w:eastAsia="仿宋" w:cs="Times New Roman"/>
                <w:sz w:val="20"/>
                <w:szCs w:val="20"/>
              </w:rPr>
            </w:pPr>
            <w:r>
              <w:rPr>
                <w:rFonts w:hint="eastAsia" w:ascii="宋体" w:hAnsi="宋体" w:eastAsia="宋体" w:cs="宋体"/>
                <w:i w:val="0"/>
                <w:iCs w:val="0"/>
                <w:color w:val="000000"/>
                <w:kern w:val="0"/>
                <w:sz w:val="22"/>
                <w:szCs w:val="22"/>
                <w:u w:val="none"/>
                <w:lang w:val="en-US" w:eastAsia="zh-CN" w:bidi="ar"/>
              </w:rPr>
              <w:t>95.00</w:t>
            </w:r>
          </w:p>
        </w:tc>
        <w:tc>
          <w:tcPr>
            <w:tcW w:w="1095" w:type="dxa"/>
            <w:tcBorders>
              <w:top w:val="nil"/>
              <w:left w:val="nil"/>
              <w:bottom w:val="single" w:color="auto" w:sz="4" w:space="0"/>
              <w:right w:val="single" w:color="auto" w:sz="4" w:space="0"/>
            </w:tcBorders>
            <w:noWrap w:val="0"/>
            <w:vAlign w:val="center"/>
          </w:tcPr>
          <w:p w14:paraId="760E60BD">
            <w:pPr>
              <w:keepNext w:val="0"/>
              <w:keepLines w:val="0"/>
              <w:widowControl/>
              <w:suppressLineNumbers w:val="0"/>
              <w:jc w:val="center"/>
              <w:textAlignment w:val="center"/>
              <w:rPr>
                <w:rFonts w:ascii="仿宋" w:hAnsi="仿宋" w:eastAsia="仿宋" w:cs="Times New Roman"/>
                <w:sz w:val="20"/>
                <w:szCs w:val="20"/>
              </w:rPr>
            </w:pPr>
          </w:p>
        </w:tc>
        <w:tc>
          <w:tcPr>
            <w:tcW w:w="1875" w:type="dxa"/>
            <w:tcBorders>
              <w:top w:val="nil"/>
              <w:left w:val="nil"/>
              <w:bottom w:val="single" w:color="auto" w:sz="4" w:space="0"/>
              <w:right w:val="single" w:color="auto" w:sz="4" w:space="0"/>
            </w:tcBorders>
            <w:noWrap w:val="0"/>
            <w:vAlign w:val="center"/>
          </w:tcPr>
          <w:p w14:paraId="717F4CB4">
            <w:pPr>
              <w:keepNext w:val="0"/>
              <w:keepLines w:val="0"/>
              <w:widowControl/>
              <w:suppressLineNumbers w:val="0"/>
              <w:jc w:val="center"/>
              <w:textAlignment w:val="center"/>
              <w:rPr>
                <w:rFonts w:ascii="仿宋" w:hAnsi="仿宋" w:eastAsia="仿宋" w:cs="Times New Roman"/>
                <w:sz w:val="20"/>
                <w:szCs w:val="20"/>
              </w:rPr>
            </w:pPr>
          </w:p>
        </w:tc>
        <w:tc>
          <w:tcPr>
            <w:tcW w:w="1065" w:type="dxa"/>
            <w:tcBorders>
              <w:top w:val="nil"/>
              <w:left w:val="nil"/>
              <w:bottom w:val="single" w:color="auto" w:sz="4" w:space="0"/>
              <w:right w:val="single" w:color="auto" w:sz="4" w:space="0"/>
            </w:tcBorders>
            <w:noWrap w:val="0"/>
            <w:vAlign w:val="center"/>
          </w:tcPr>
          <w:p w14:paraId="77C76FAC">
            <w:pPr>
              <w:widowControl/>
              <w:jc w:val="center"/>
              <w:rPr>
                <w:rFonts w:hint="eastAsia" w:ascii="仿宋" w:hAnsi="仿宋" w:eastAsia="仿宋" w:cs="宋体"/>
                <w:kern w:val="0"/>
                <w:sz w:val="20"/>
                <w:szCs w:val="20"/>
              </w:rPr>
            </w:pPr>
          </w:p>
        </w:tc>
      </w:tr>
      <w:tr w14:paraId="0B1D0F67">
        <w:tblPrEx>
          <w:tblCellMar>
            <w:top w:w="0" w:type="dxa"/>
            <w:left w:w="108" w:type="dxa"/>
            <w:bottom w:w="0" w:type="dxa"/>
            <w:right w:w="108" w:type="dxa"/>
          </w:tblCellMar>
        </w:tblPrEx>
        <w:trPr>
          <w:trHeight w:val="285" w:hRule="atLeast"/>
        </w:trPr>
        <w:tc>
          <w:tcPr>
            <w:tcW w:w="5841" w:type="dxa"/>
            <w:gridSpan w:val="5"/>
            <w:tcBorders>
              <w:top w:val="single" w:color="auto" w:sz="4" w:space="0"/>
              <w:left w:val="single" w:color="auto" w:sz="4" w:space="0"/>
              <w:bottom w:val="single" w:color="auto" w:sz="4" w:space="0"/>
              <w:right w:val="single" w:color="auto" w:sz="4" w:space="0"/>
            </w:tcBorders>
            <w:noWrap w:val="0"/>
            <w:vAlign w:val="center"/>
          </w:tcPr>
          <w:p w14:paraId="7AFCDA65">
            <w:pPr>
              <w:widowControl/>
              <w:jc w:val="center"/>
              <w:textAlignment w:val="center"/>
              <w:rPr>
                <w:rFonts w:hint="eastAsia" w:ascii="仿宋" w:hAnsi="仿宋" w:eastAsia="仿宋" w:cs="仿宋"/>
                <w:sz w:val="24"/>
                <w:szCs w:val="24"/>
                <w:lang w:val="zh-CN"/>
              </w:rPr>
            </w:pPr>
            <w:r>
              <w:rPr>
                <w:rFonts w:hint="eastAsia" w:ascii="仿宋" w:hAnsi="仿宋" w:eastAsia="仿宋" w:cs="仿宋"/>
                <w:b/>
                <w:bCs/>
                <w:kern w:val="0"/>
                <w:sz w:val="24"/>
                <w:szCs w:val="24"/>
                <w:lang w:bidi="ar"/>
              </w:rPr>
              <w:t>不含增值税总价</w:t>
            </w:r>
          </w:p>
        </w:tc>
        <w:tc>
          <w:tcPr>
            <w:tcW w:w="1875" w:type="dxa"/>
            <w:tcBorders>
              <w:top w:val="nil"/>
              <w:left w:val="nil"/>
              <w:bottom w:val="single" w:color="auto" w:sz="4" w:space="0"/>
              <w:right w:val="single" w:color="auto" w:sz="4" w:space="0"/>
            </w:tcBorders>
            <w:noWrap w:val="0"/>
            <w:vAlign w:val="center"/>
          </w:tcPr>
          <w:p w14:paraId="33E7767C">
            <w:pPr>
              <w:widowControl/>
              <w:jc w:val="center"/>
              <w:textAlignment w:val="center"/>
              <w:rPr>
                <w:rFonts w:ascii="仿宋" w:hAnsi="仿宋" w:eastAsia="仿宋" w:cs="仿宋"/>
                <w:b/>
                <w:bCs/>
                <w:kern w:val="0"/>
                <w:sz w:val="22"/>
                <w:szCs w:val="22"/>
                <w:lang w:bidi="ar"/>
              </w:rPr>
            </w:pPr>
          </w:p>
        </w:tc>
        <w:tc>
          <w:tcPr>
            <w:tcW w:w="1065" w:type="dxa"/>
            <w:tcBorders>
              <w:top w:val="nil"/>
              <w:left w:val="nil"/>
              <w:bottom w:val="single" w:color="auto" w:sz="4" w:space="0"/>
              <w:right w:val="single" w:color="auto" w:sz="4" w:space="0"/>
            </w:tcBorders>
            <w:noWrap w:val="0"/>
            <w:vAlign w:val="center"/>
          </w:tcPr>
          <w:p w14:paraId="2D165BCB">
            <w:pPr>
              <w:widowControl/>
              <w:jc w:val="center"/>
              <w:textAlignment w:val="center"/>
              <w:rPr>
                <w:rFonts w:hint="eastAsia" w:ascii="仿宋" w:hAnsi="仿宋" w:eastAsia="仿宋" w:cs="Times New Roman"/>
                <w:sz w:val="24"/>
                <w:szCs w:val="24"/>
                <w:lang w:val="zh-CN"/>
              </w:rPr>
            </w:pPr>
          </w:p>
        </w:tc>
      </w:tr>
      <w:tr w14:paraId="7EBBE091">
        <w:tblPrEx>
          <w:tblCellMar>
            <w:top w:w="0" w:type="dxa"/>
            <w:left w:w="108" w:type="dxa"/>
            <w:bottom w:w="0" w:type="dxa"/>
            <w:right w:w="108" w:type="dxa"/>
          </w:tblCellMar>
        </w:tblPrEx>
        <w:trPr>
          <w:trHeight w:val="263" w:hRule="atLeast"/>
        </w:trPr>
        <w:tc>
          <w:tcPr>
            <w:tcW w:w="5841" w:type="dxa"/>
            <w:gridSpan w:val="5"/>
            <w:tcBorders>
              <w:top w:val="single" w:color="auto" w:sz="4" w:space="0"/>
              <w:left w:val="single" w:color="auto" w:sz="4" w:space="0"/>
              <w:bottom w:val="single" w:color="auto" w:sz="4" w:space="0"/>
              <w:right w:val="single" w:color="auto" w:sz="4" w:space="0"/>
            </w:tcBorders>
            <w:noWrap w:val="0"/>
            <w:vAlign w:val="center"/>
          </w:tcPr>
          <w:p w14:paraId="0AFC560F">
            <w:pPr>
              <w:widowControl/>
              <w:jc w:val="center"/>
              <w:textAlignment w:val="center"/>
              <w:rPr>
                <w:rFonts w:hint="eastAsia" w:ascii="仿宋" w:hAnsi="仿宋" w:eastAsia="仿宋" w:cs="仿宋"/>
                <w:sz w:val="24"/>
                <w:szCs w:val="24"/>
                <w:lang w:val="zh-CN"/>
              </w:rPr>
            </w:pPr>
            <w:r>
              <w:rPr>
                <w:rFonts w:hint="eastAsia" w:ascii="仿宋" w:hAnsi="仿宋" w:eastAsia="仿宋" w:cs="仿宋"/>
                <w:b/>
                <w:bCs/>
                <w:kern w:val="0"/>
                <w:sz w:val="24"/>
                <w:szCs w:val="24"/>
                <w:lang w:bidi="ar"/>
              </w:rPr>
              <w:t>增值税（</w:t>
            </w:r>
            <w:r>
              <w:rPr>
                <w:rFonts w:hint="eastAsia" w:ascii="仿宋" w:hAnsi="仿宋" w:eastAsia="仿宋" w:cs="仿宋"/>
                <w:b/>
                <w:bCs/>
                <w:kern w:val="0"/>
                <w:sz w:val="24"/>
                <w:szCs w:val="24"/>
                <w:u w:val="single"/>
                <w:lang w:bidi="ar"/>
              </w:rPr>
              <w:t xml:space="preserve">  </w:t>
            </w:r>
            <w:r>
              <w:rPr>
                <w:rFonts w:hint="eastAsia" w:ascii="仿宋" w:hAnsi="仿宋" w:eastAsia="仿宋" w:cs="仿宋"/>
                <w:b/>
                <w:bCs/>
                <w:kern w:val="0"/>
                <w:sz w:val="24"/>
                <w:szCs w:val="24"/>
                <w:u w:val="single"/>
                <w:lang w:val="en-US" w:eastAsia="zh-CN" w:bidi="ar"/>
              </w:rPr>
              <w:t xml:space="preserve">  </w:t>
            </w:r>
            <w:r>
              <w:rPr>
                <w:rFonts w:hint="eastAsia" w:ascii="仿宋" w:hAnsi="仿宋" w:eastAsia="仿宋" w:cs="仿宋"/>
                <w:b/>
                <w:bCs/>
                <w:kern w:val="0"/>
                <w:sz w:val="24"/>
                <w:szCs w:val="24"/>
                <w:u w:val="single"/>
                <w:lang w:bidi="ar"/>
              </w:rPr>
              <w:t xml:space="preserve"> </w:t>
            </w:r>
            <w:r>
              <w:rPr>
                <w:rFonts w:hint="eastAsia" w:ascii="仿宋" w:hAnsi="仿宋" w:eastAsia="仿宋" w:cs="仿宋"/>
                <w:b/>
                <w:bCs/>
                <w:kern w:val="0"/>
                <w:sz w:val="24"/>
                <w:szCs w:val="24"/>
                <w:lang w:bidi="ar"/>
              </w:rPr>
              <w:t>%）</w:t>
            </w:r>
          </w:p>
        </w:tc>
        <w:tc>
          <w:tcPr>
            <w:tcW w:w="1875" w:type="dxa"/>
            <w:tcBorders>
              <w:top w:val="nil"/>
              <w:left w:val="nil"/>
              <w:bottom w:val="single" w:color="auto" w:sz="4" w:space="0"/>
              <w:right w:val="single" w:color="auto" w:sz="4" w:space="0"/>
            </w:tcBorders>
            <w:noWrap w:val="0"/>
            <w:vAlign w:val="center"/>
          </w:tcPr>
          <w:p w14:paraId="45F8C3A2">
            <w:pPr>
              <w:widowControl/>
              <w:jc w:val="center"/>
              <w:textAlignment w:val="center"/>
              <w:rPr>
                <w:rFonts w:ascii="仿宋" w:hAnsi="仿宋" w:eastAsia="仿宋" w:cs="仿宋"/>
                <w:b/>
                <w:bCs/>
                <w:kern w:val="0"/>
                <w:sz w:val="22"/>
                <w:szCs w:val="22"/>
                <w:lang w:bidi="ar"/>
              </w:rPr>
            </w:pPr>
          </w:p>
        </w:tc>
        <w:tc>
          <w:tcPr>
            <w:tcW w:w="1065" w:type="dxa"/>
            <w:tcBorders>
              <w:top w:val="nil"/>
              <w:left w:val="nil"/>
              <w:bottom w:val="single" w:color="auto" w:sz="4" w:space="0"/>
              <w:right w:val="single" w:color="auto" w:sz="4" w:space="0"/>
            </w:tcBorders>
            <w:noWrap w:val="0"/>
            <w:vAlign w:val="center"/>
          </w:tcPr>
          <w:p w14:paraId="56E55E9B">
            <w:pPr>
              <w:widowControl/>
              <w:jc w:val="center"/>
              <w:rPr>
                <w:rFonts w:hint="eastAsia" w:ascii="仿宋" w:hAnsi="仿宋" w:eastAsia="仿宋" w:cs="宋体"/>
                <w:kern w:val="0"/>
                <w:sz w:val="24"/>
                <w:szCs w:val="24"/>
              </w:rPr>
            </w:pPr>
          </w:p>
        </w:tc>
      </w:tr>
      <w:tr w14:paraId="14A2BB67">
        <w:tblPrEx>
          <w:tblCellMar>
            <w:top w:w="0" w:type="dxa"/>
            <w:left w:w="108" w:type="dxa"/>
            <w:bottom w:w="0" w:type="dxa"/>
            <w:right w:w="108" w:type="dxa"/>
          </w:tblCellMar>
        </w:tblPrEx>
        <w:trPr>
          <w:trHeight w:val="263" w:hRule="atLeast"/>
        </w:trPr>
        <w:tc>
          <w:tcPr>
            <w:tcW w:w="5841" w:type="dxa"/>
            <w:gridSpan w:val="5"/>
            <w:tcBorders>
              <w:top w:val="single" w:color="auto" w:sz="4" w:space="0"/>
              <w:left w:val="single" w:color="auto" w:sz="4" w:space="0"/>
              <w:bottom w:val="single" w:color="auto" w:sz="4" w:space="0"/>
              <w:right w:val="single" w:color="auto" w:sz="4" w:space="0"/>
            </w:tcBorders>
            <w:noWrap w:val="0"/>
            <w:vAlign w:val="center"/>
          </w:tcPr>
          <w:p w14:paraId="241A69CE">
            <w:pPr>
              <w:widowControl/>
              <w:jc w:val="center"/>
              <w:textAlignment w:val="center"/>
              <w:rPr>
                <w:rFonts w:hint="eastAsia" w:ascii="仿宋" w:hAnsi="仿宋" w:eastAsia="仿宋" w:cs="仿宋"/>
                <w:sz w:val="24"/>
                <w:szCs w:val="24"/>
                <w:lang w:val="zh-CN"/>
              </w:rPr>
            </w:pPr>
            <w:r>
              <w:rPr>
                <w:rFonts w:hint="eastAsia" w:ascii="仿宋" w:hAnsi="仿宋" w:eastAsia="仿宋" w:cs="仿宋"/>
                <w:b/>
                <w:bCs/>
                <w:kern w:val="0"/>
                <w:sz w:val="24"/>
                <w:szCs w:val="24"/>
                <w:lang w:bidi="ar"/>
              </w:rPr>
              <w:t>含增值税总价</w:t>
            </w:r>
          </w:p>
        </w:tc>
        <w:tc>
          <w:tcPr>
            <w:tcW w:w="1875" w:type="dxa"/>
            <w:tcBorders>
              <w:top w:val="single" w:color="auto" w:sz="4" w:space="0"/>
              <w:left w:val="nil"/>
              <w:bottom w:val="single" w:color="auto" w:sz="4" w:space="0"/>
              <w:right w:val="single" w:color="auto" w:sz="4" w:space="0"/>
            </w:tcBorders>
            <w:noWrap w:val="0"/>
            <w:vAlign w:val="center"/>
          </w:tcPr>
          <w:p w14:paraId="016C4257">
            <w:pPr>
              <w:widowControl/>
              <w:jc w:val="center"/>
              <w:textAlignment w:val="center"/>
              <w:rPr>
                <w:rFonts w:ascii="仿宋" w:hAnsi="仿宋" w:eastAsia="仿宋" w:cs="仿宋"/>
                <w:b/>
                <w:bCs/>
                <w:kern w:val="0"/>
                <w:sz w:val="22"/>
                <w:szCs w:val="22"/>
                <w:lang w:bidi="ar"/>
              </w:rPr>
            </w:pPr>
          </w:p>
        </w:tc>
        <w:tc>
          <w:tcPr>
            <w:tcW w:w="1065" w:type="dxa"/>
            <w:tcBorders>
              <w:top w:val="single" w:color="auto" w:sz="4" w:space="0"/>
              <w:left w:val="nil"/>
              <w:bottom w:val="single" w:color="auto" w:sz="4" w:space="0"/>
              <w:right w:val="single" w:color="auto" w:sz="4" w:space="0"/>
            </w:tcBorders>
            <w:noWrap w:val="0"/>
            <w:vAlign w:val="center"/>
          </w:tcPr>
          <w:p w14:paraId="3C5AAA50">
            <w:pPr>
              <w:jc w:val="center"/>
              <w:rPr>
                <w:rFonts w:hint="eastAsia" w:ascii="仿宋" w:hAnsi="仿宋" w:eastAsia="仿宋" w:cs="宋体"/>
                <w:kern w:val="0"/>
                <w:sz w:val="24"/>
                <w:szCs w:val="24"/>
              </w:rPr>
            </w:pPr>
          </w:p>
        </w:tc>
      </w:tr>
    </w:tbl>
    <w:p w14:paraId="41CCFA86">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本合同为固定综合单价合同，合同暂定总价为人民币</w:t>
      </w:r>
      <w:r>
        <w:rPr>
          <w:rFonts w:hint="eastAsia" w:ascii="仿宋" w:hAnsi="仿宋" w:eastAsia="仿宋" w:cs="仿宋"/>
          <w:b/>
          <w:bCs/>
          <w:kern w:val="0"/>
          <w:sz w:val="22"/>
          <w:szCs w:val="22"/>
          <w:u w:val="single"/>
          <w:lang w:val="en-US" w:eastAsia="zh-CN" w:bidi="ar"/>
        </w:rPr>
        <w:t xml:space="preserve">     </w:t>
      </w:r>
      <w:r>
        <w:rPr>
          <w:rFonts w:hint="eastAsia" w:ascii="仿宋" w:hAnsi="仿宋" w:eastAsia="仿宋" w:cs="Times New Roman"/>
          <w:sz w:val="24"/>
          <w:szCs w:val="24"/>
          <w:u w:val="single"/>
        </w:rPr>
        <w:t>元</w:t>
      </w:r>
      <w:r>
        <w:rPr>
          <w:rFonts w:hint="eastAsia" w:ascii="仿宋" w:hAnsi="仿宋" w:eastAsia="仿宋" w:cs="Times New Roman"/>
          <w:sz w:val="24"/>
          <w:szCs w:val="24"/>
        </w:rPr>
        <w:t>（大写：</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），其中不含增值税总价</w:t>
      </w:r>
      <w:r>
        <w:rPr>
          <w:rFonts w:hint="eastAsia" w:ascii="仿宋" w:hAnsi="仿宋" w:eastAsia="仿宋" w:cs="仿宋"/>
          <w:b/>
          <w:bCs/>
          <w:kern w:val="0"/>
          <w:sz w:val="22"/>
          <w:szCs w:val="22"/>
          <w:u w:val="single"/>
          <w:lang w:val="en-US" w:eastAsia="zh-CN" w:bidi="ar"/>
        </w:rPr>
        <w:t xml:space="preserve">      </w:t>
      </w:r>
      <w:r>
        <w:rPr>
          <w:rFonts w:hint="eastAsia" w:ascii="仿宋" w:hAnsi="仿宋" w:eastAsia="仿宋" w:cs="Times New Roman"/>
          <w:sz w:val="24"/>
          <w:szCs w:val="24"/>
        </w:rPr>
        <w:t>元（大写：</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），增值税</w:t>
      </w:r>
      <w:r>
        <w:rPr>
          <w:rFonts w:hint="eastAsia" w:ascii="仿宋" w:hAnsi="仿宋" w:eastAsia="仿宋" w:cs="仿宋"/>
          <w:b/>
          <w:bCs/>
          <w:kern w:val="0"/>
          <w:sz w:val="22"/>
          <w:szCs w:val="22"/>
          <w:u w:val="single"/>
          <w:lang w:val="en-US" w:eastAsia="zh-CN" w:bidi="ar"/>
        </w:rPr>
        <w:t xml:space="preserve">      </w:t>
      </w:r>
      <w:r>
        <w:rPr>
          <w:rFonts w:hint="eastAsia" w:ascii="仿宋" w:hAnsi="仿宋" w:eastAsia="仿宋" w:cs="Times New Roman"/>
          <w:sz w:val="24"/>
          <w:szCs w:val="24"/>
        </w:rPr>
        <w:t>元（大写：</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），增值税按不含增值税总价的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单列</w:t>
      </w:r>
      <w:r>
        <w:rPr>
          <w:rStyle w:val="12"/>
          <w:rFonts w:hint="eastAsia" w:ascii="仿宋" w:hAnsi="仿宋" w:eastAsia="仿宋" w:cs="宋体"/>
          <w:b w:val="0"/>
          <w:sz w:val="24"/>
          <w:szCs w:val="24"/>
        </w:rPr>
        <w:t>（增值税税率随国家政策和适用税率同步调整）</w:t>
      </w:r>
      <w:r>
        <w:rPr>
          <w:rFonts w:hint="eastAsia" w:ascii="仿宋" w:hAnsi="仿宋" w:eastAsia="仿宋" w:cs="Times New Roman"/>
          <w:sz w:val="24"/>
          <w:szCs w:val="24"/>
        </w:rPr>
        <w:t>；本合同暂定总价不作为双方最终结算的依据。</w:t>
      </w:r>
    </w:p>
    <w:p w14:paraId="054A04F7">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注：（1）表中所列“需求数量”为暂定数量，实际供应数量以项目部签收核实为准，当甲方实际需求数量不足表中数量时，乙方不得以需求不足向甲方进行索偿；材料验收合格后由双方验收人员在送货单、材料签收单、过磅单上签字。每月材料对账根据甲乙双方材料验收人员签字的单据经行汇总，对账汇总表甲乙双方必须加盖公章及签名确认，甲方签名确认为项目经理。最终结算以双方签名加盖公章的汇总表为准。</w:t>
      </w:r>
    </w:p>
    <w:p w14:paraId="378651B0">
      <w:pPr>
        <w:snapToGrid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 综合单价为砂石料运至施工现场的车板交货综合单价，包括但不限于</w:t>
      </w:r>
      <w:r>
        <w:rPr>
          <w:rFonts w:hint="eastAsia" w:ascii="仿宋" w:hAnsi="仿宋" w:eastAsia="仿宋" w:cs="Times New Roman"/>
          <w:bCs/>
          <w:sz w:val="24"/>
          <w:szCs w:val="24"/>
        </w:rPr>
        <w:t>原材料价</w:t>
      </w:r>
      <w:r>
        <w:rPr>
          <w:rFonts w:hint="eastAsia" w:ascii="仿宋" w:hAnsi="仿宋" w:eastAsia="仿宋" w:cs="Times New Roman"/>
          <w:sz w:val="24"/>
          <w:szCs w:val="24"/>
        </w:rPr>
        <w:t>、运输、砂石料加工成本、乙方拟获得的利润、除增值税以外的一切税费(为实施本合同应缴纳的企业所得税、个人所得税、印花税、资源税 、城市维护建设税、教育费附加、地方教育附加、堤围防护费等一切税费)等；以及施工点安全维护、保证自身人员安全设施的费用。</w:t>
      </w:r>
    </w:p>
    <w:p w14:paraId="4D4B2AAA">
      <w:pPr>
        <w:snapToGrid w:val="0"/>
        <w:spacing w:line="360" w:lineRule="auto"/>
        <w:ind w:firstLine="480" w:firstLineChars="200"/>
        <w:rPr>
          <w:rFonts w:hint="eastAsia" w:ascii="仿宋" w:hAnsi="仿宋" w:eastAsia="仿宋" w:cs="Times New Roman"/>
          <w:sz w:val="24"/>
          <w:szCs w:val="24"/>
          <w:u w:val="single"/>
        </w:rPr>
      </w:pPr>
      <w:r>
        <w:rPr>
          <w:rFonts w:hint="eastAsia" w:ascii="仿宋" w:hAnsi="仿宋" w:eastAsia="仿宋" w:cs="Times New Roman"/>
          <w:sz w:val="24"/>
          <w:szCs w:val="24"/>
        </w:rPr>
        <w:t>（3）综合单价中的“原材料价”和/或“运输”在供应期内</w:t>
      </w:r>
      <w:r>
        <w:rPr>
          <w:rFonts w:hint="eastAsia" w:ascii="仿宋" w:hAnsi="仿宋" w:eastAsia="仿宋" w:cs="Times New Roman"/>
          <w:sz w:val="24"/>
          <w:szCs w:val="24"/>
          <w:u w:val="single"/>
        </w:rPr>
        <w:t>执行“不变价格”。</w:t>
      </w:r>
    </w:p>
    <w:p w14:paraId="3A07F75E">
      <w:pPr>
        <w:snapToGrid w:val="0"/>
        <w:spacing w:line="360" w:lineRule="auto"/>
        <w:ind w:left="960" w:hanging="960" w:hangingChars="400"/>
        <w:rPr>
          <w:rFonts w:hint="eastAsia" w:ascii="仿宋" w:hAnsi="仿宋" w:eastAsia="仿宋" w:cs="Times New Roman"/>
          <w:bCs/>
          <w:sz w:val="24"/>
          <w:szCs w:val="24"/>
        </w:rPr>
      </w:pPr>
      <w:r>
        <w:rPr>
          <w:rFonts w:hint="eastAsia" w:ascii="仿宋" w:hAnsi="仿宋" w:eastAsia="仿宋" w:cs="Times New Roman"/>
          <w:bCs/>
          <w:sz w:val="24"/>
          <w:szCs w:val="24"/>
        </w:rPr>
        <w:t>说明：</w:t>
      </w:r>
      <w:r>
        <w:rPr>
          <w:rFonts w:hint="eastAsia" w:ascii="仿宋" w:hAnsi="仿宋" w:eastAsia="仿宋" w:cs="Times New Roman"/>
          <w:bCs/>
          <w:sz w:val="24"/>
          <w:szCs w:val="24"/>
        </w:rPr>
        <w:sym w:font="Wingdings" w:char="F081"/>
      </w:r>
      <w:r>
        <w:rPr>
          <w:rFonts w:hint="eastAsia" w:ascii="仿宋" w:hAnsi="仿宋" w:eastAsia="仿宋" w:cs="Times New Roman"/>
          <w:bCs/>
          <w:sz w:val="24"/>
          <w:szCs w:val="24"/>
        </w:rPr>
        <w:t xml:space="preserve"> 表中“材料名称”可以为“各种规格的砂、机制砂、石料，反击破碎石”；</w:t>
      </w:r>
    </w:p>
    <w:p w14:paraId="4074563D">
      <w:pPr>
        <w:snapToGrid w:val="0"/>
        <w:spacing w:line="360" w:lineRule="auto"/>
        <w:ind w:left="960" w:hanging="960" w:hangingChars="400"/>
        <w:rPr>
          <w:rFonts w:hint="eastAsia" w:ascii="仿宋" w:hAnsi="仿宋" w:eastAsia="仿宋" w:cs="Times New Roman"/>
          <w:bCs/>
          <w:sz w:val="24"/>
          <w:szCs w:val="24"/>
        </w:rPr>
      </w:pPr>
      <w:r>
        <w:rPr>
          <w:rFonts w:hint="eastAsia" w:ascii="仿宋" w:hAnsi="仿宋" w:eastAsia="仿宋" w:cs="Times New Roman"/>
          <w:bCs/>
          <w:sz w:val="24"/>
          <w:szCs w:val="24"/>
        </w:rPr>
        <w:t xml:space="preserve">      </w:t>
      </w:r>
      <w:r>
        <w:rPr>
          <w:rFonts w:hint="eastAsia" w:ascii="仿宋" w:hAnsi="仿宋" w:eastAsia="仿宋" w:cs="Times New Roman"/>
          <w:bCs/>
          <w:sz w:val="24"/>
          <w:szCs w:val="24"/>
        </w:rPr>
        <w:sym w:font="Wingdings" w:char="F082"/>
      </w:r>
      <w:r>
        <w:rPr>
          <w:rFonts w:hint="eastAsia" w:ascii="仿宋" w:hAnsi="仿宋" w:eastAsia="仿宋" w:cs="Times New Roman"/>
          <w:bCs/>
          <w:sz w:val="24"/>
          <w:szCs w:val="24"/>
        </w:rPr>
        <w:t xml:space="preserve"> 表中“单位”可以为“吨”、“方”，当以“吨”过磅要换算为“方”结算时，应列明换算公式；</w:t>
      </w:r>
    </w:p>
    <w:p w14:paraId="7A8ACA1D">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第二条  供货模式</w:t>
      </w:r>
    </w:p>
    <w:p w14:paraId="566ADAC0">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1、乙方根据甲方项目部对砂石料需求的要求（包括但不限于规格、质量、数量、备料时间等），将砂石料从货源地运往（或加工后运往）甲方指定地分档堆放；</w:t>
      </w:r>
    </w:p>
    <w:p w14:paraId="080767FD">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2、实际供应数量的确认方式：</w:t>
      </w:r>
    </w:p>
    <w:p w14:paraId="21A05F31">
      <w:pPr>
        <w:spacing w:line="360" w:lineRule="auto"/>
        <w:ind w:firstLine="480" w:firstLineChars="200"/>
        <w:rPr>
          <w:rFonts w:hint="eastAsia" w:ascii="仿宋" w:hAnsi="仿宋" w:eastAsia="仿宋" w:cs="Times New Roman"/>
          <w:color w:val="FF0000"/>
          <w:sz w:val="24"/>
          <w:szCs w:val="24"/>
          <w:u w:val="single"/>
        </w:rPr>
      </w:pPr>
      <w:r>
        <w:rPr>
          <w:rFonts w:hint="eastAsia" w:ascii="仿宋" w:hAnsi="仿宋" w:eastAsia="仿宋" w:cs="Times New Roman"/>
          <w:sz w:val="24"/>
          <w:szCs w:val="24"/>
        </w:rPr>
        <w:t>砂、石料的数量确认以过磅方式进行计量，最终数量确认按甲方实际过磅确认验收的数量为准(其中每车验收数量为实际过磅数量减去现场实测含水量)，数量确认需双方共同签认；</w:t>
      </w:r>
    </w:p>
    <w:p w14:paraId="6E02D2F8">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3、为完成砂、石料堆放而需在甲方项目进行的驻地建设、搭建临时设施、便道等由甲方负责；</w:t>
      </w:r>
    </w:p>
    <w:p w14:paraId="428EBFBE">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4、为满足甲方砂、石料规格要求而需对砂、石料进行反击破加工、整型加工所需的场地、设备、人员、运输等投入由乙方负责；</w:t>
      </w:r>
    </w:p>
    <w:p w14:paraId="2353712D">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5、乙方并非甲方本项目工程材料的唯一供应商，本合同不影响甲方向其他供应商采购本项目工程所需任何材料，包括本合同供应协商终止前，甲方向其他砂石料供应商采购；</w:t>
      </w:r>
    </w:p>
    <w:p w14:paraId="3FF4A8AD">
      <w:pPr>
        <w:tabs>
          <w:tab w:val="left" w:pos="1260"/>
        </w:tabs>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6、甲方有权根据工程的实际情况调整货物的实际需求总量和工期，不论增加或减少都不对合同的单价和其它条款做任何改变。如因工程设计变更而导致货物数量的增减，甲方有权要求乙方在单价或其它条款不变的前提下予以承认。</w:t>
      </w:r>
    </w:p>
    <w:p w14:paraId="4C90D419">
      <w:pPr>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bCs/>
          <w:sz w:val="24"/>
          <w:szCs w:val="24"/>
        </w:rPr>
        <w:t>第三条  砂石料的检测与验收</w:t>
      </w:r>
    </w:p>
    <w:p w14:paraId="13C84698">
      <w:pPr>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1、乙方签订本合同前，必须向甲方提供拟供应砂、石料场中甲方所需的各种规格砂、石料样本给甲方检验，各种检测合格后方可签订砂、石料供应合同；</w:t>
      </w:r>
    </w:p>
    <w:p w14:paraId="0FD34F8A">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lang w:val="zh-CN"/>
        </w:rPr>
        <w:t>2、砂、石料的</w:t>
      </w:r>
      <w:r>
        <w:rPr>
          <w:rFonts w:hint="eastAsia" w:ascii="仿宋" w:hAnsi="仿宋" w:eastAsia="仿宋" w:cs="Times New Roman"/>
          <w:sz w:val="24"/>
          <w:szCs w:val="24"/>
        </w:rPr>
        <w:t>现场数量验收应由运输车辆司机或乙方所派的指定人员、甲方的专职材料员、质检员共同参与。验收时，验收人员应仔细核对每车砂、石料的运送单（来源地、规格、数量），过磅到货数量、抽检样本，并作相应记录；如发现情况异常，验收人员有权拒绝卸货，因此造成的损失由乙方负责。材料过磅验收后由验收人员在材料运送单上签名并加盖项目部材料专用印章确认；</w:t>
      </w:r>
    </w:p>
    <w:p w14:paraId="7ACCDB26">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3、甲方指定收货人：</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，身份证号：</w:t>
      </w:r>
      <w:r>
        <w:rPr>
          <w:rFonts w:hint="eastAsia" w:ascii="仿宋" w:hAnsi="仿宋" w:eastAsia="仿宋" w:cs="Times New Roman"/>
          <w:color w:val="000000"/>
          <w:sz w:val="24"/>
          <w:szCs w:val="24"/>
          <w:highlight w:val="none"/>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，联系电话：</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rPr>
        <w:t>；甲方收货联系人仅有权对乙方送货单中的数量予以确认，无权对货物价款以及最终结算单进行确认。</w:t>
      </w:r>
    </w:p>
    <w:p w14:paraId="344D05BE">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乙方发货联系人：</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 ，身份证号：</w:t>
      </w:r>
      <w:r>
        <w:rPr>
          <w:rFonts w:hint="eastAsia" w:ascii="仿宋" w:hAnsi="仿宋" w:eastAsia="仿宋" w:cs="Times New Roman"/>
          <w:sz w:val="24"/>
          <w:szCs w:val="24"/>
          <w:u w:val="single"/>
          <w:lang w:val="en-US" w:eastAsia="zh-CN"/>
        </w:rPr>
        <w:t xml:space="preserve">        </w:t>
      </w:r>
      <w:r>
        <w:rPr>
          <w:rFonts w:ascii="仿宋" w:hAnsi="仿宋" w:eastAsia="仿宋" w:cs="Times New Roman"/>
          <w:sz w:val="24"/>
          <w:szCs w:val="24"/>
        </w:rPr>
        <w:t>，</w:t>
      </w:r>
      <w:r>
        <w:rPr>
          <w:rFonts w:hint="eastAsia" w:ascii="仿宋" w:hAnsi="仿宋" w:eastAsia="仿宋" w:cs="Times New Roman"/>
          <w:sz w:val="24"/>
          <w:szCs w:val="24"/>
        </w:rPr>
        <w:t>联系电话：</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 xml:space="preserve"> ；乙方须将货物运至交货地点交甲方联系人签收确认方为有效。非本合同约定甲方联系人签收的送货单，视为甲方未收到相应货物，对甲方不具有效力。</w:t>
      </w:r>
    </w:p>
    <w:p w14:paraId="6584E3FF">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甲乙双方各自委派的</w:t>
      </w:r>
      <w:r>
        <w:rPr>
          <w:rFonts w:hint="eastAsia" w:ascii="仿宋" w:hAnsi="仿宋" w:eastAsia="仿宋" w:cs="Times New Roman"/>
          <w:sz w:val="24"/>
          <w:szCs w:val="24"/>
          <w:lang w:val="zh-CN"/>
        </w:rPr>
        <w:t>材料签收人员应以公函形式通知对方，如果一方签收人员发生变更时，应及时用公函形式通知对方作相应的更改；</w:t>
      </w:r>
      <w:r>
        <w:rPr>
          <w:rFonts w:hint="eastAsia" w:ascii="仿宋" w:hAnsi="仿宋" w:eastAsia="仿宋" w:cs="Times New Roman"/>
          <w:sz w:val="24"/>
          <w:szCs w:val="24"/>
        </w:rPr>
        <w:t>此</w:t>
      </w:r>
      <w:r>
        <w:rPr>
          <w:rFonts w:hint="eastAsia" w:ascii="仿宋" w:hAnsi="仿宋" w:eastAsia="仿宋" w:cs="Times New Roman"/>
          <w:sz w:val="24"/>
          <w:szCs w:val="24"/>
          <w:lang w:val="zh-CN"/>
        </w:rPr>
        <w:t>部分往来所产生的公函，应作为本合同的组成部分；</w:t>
      </w:r>
    </w:p>
    <w:p w14:paraId="6F7FCDED">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lang w:val="zh-CN"/>
        </w:rPr>
        <w:t>4、砂、石</w:t>
      </w:r>
      <w:r>
        <w:rPr>
          <w:rFonts w:hint="eastAsia" w:ascii="仿宋" w:hAnsi="仿宋" w:eastAsia="仿宋" w:cs="Times New Roman"/>
          <w:sz w:val="24"/>
          <w:szCs w:val="24"/>
        </w:rPr>
        <w:t>料进场后，甲方按有关规范抽检，检验费用由</w:t>
      </w:r>
      <w:r>
        <w:rPr>
          <w:rFonts w:hint="eastAsia" w:ascii="仿宋" w:hAnsi="仿宋" w:eastAsia="仿宋" w:cs="Times New Roman"/>
          <w:sz w:val="24"/>
          <w:szCs w:val="24"/>
          <w:lang w:val="zh-CN"/>
        </w:rPr>
        <w:t>甲方</w:t>
      </w:r>
      <w:r>
        <w:rPr>
          <w:rFonts w:hint="eastAsia" w:ascii="仿宋" w:hAnsi="仿宋" w:eastAsia="仿宋" w:cs="Times New Roman"/>
          <w:sz w:val="24"/>
          <w:szCs w:val="24"/>
        </w:rPr>
        <w:t>负责。</w:t>
      </w:r>
      <w:r>
        <w:rPr>
          <w:rFonts w:hint="eastAsia" w:ascii="仿宋" w:hAnsi="仿宋" w:eastAsia="仿宋" w:cs="Times New Roman"/>
          <w:sz w:val="24"/>
          <w:szCs w:val="24"/>
          <w:lang w:val="zh-CN"/>
        </w:rPr>
        <w:t>甲方</w:t>
      </w:r>
      <w:r>
        <w:rPr>
          <w:rFonts w:hint="eastAsia" w:ascii="仿宋" w:hAnsi="仿宋" w:eastAsia="仿宋" w:cs="Times New Roman"/>
          <w:sz w:val="24"/>
          <w:szCs w:val="24"/>
        </w:rPr>
        <w:t>如</w:t>
      </w:r>
      <w:r>
        <w:rPr>
          <w:rFonts w:hint="eastAsia" w:ascii="仿宋" w:hAnsi="仿宋" w:eastAsia="仿宋" w:cs="Times New Roman"/>
          <w:sz w:val="24"/>
          <w:szCs w:val="24"/>
          <w:lang w:val="zh-CN"/>
        </w:rPr>
        <w:t>对材料质量有异议，应</w:t>
      </w:r>
      <w:r>
        <w:rPr>
          <w:rFonts w:hint="eastAsia" w:ascii="仿宋" w:hAnsi="仿宋" w:eastAsia="仿宋" w:cs="Times New Roman"/>
          <w:sz w:val="24"/>
          <w:szCs w:val="24"/>
        </w:rPr>
        <w:t>以有相关检测资质的第三方机构检测的报告为最终结果</w:t>
      </w:r>
      <w:r>
        <w:rPr>
          <w:rFonts w:hint="eastAsia" w:ascii="仿宋" w:hAnsi="仿宋" w:eastAsia="仿宋" w:cs="Times New Roman"/>
          <w:sz w:val="24"/>
          <w:szCs w:val="24"/>
          <w:lang w:val="zh-CN"/>
        </w:rPr>
        <w:t>，如属质量不合格</w:t>
      </w:r>
      <w:r>
        <w:rPr>
          <w:rFonts w:hint="eastAsia" w:ascii="仿宋" w:hAnsi="仿宋" w:eastAsia="仿宋" w:cs="Times New Roman"/>
          <w:sz w:val="24"/>
          <w:szCs w:val="24"/>
        </w:rPr>
        <w:t>，乙方应承担检测费，并将不合格材料清运走；因材料质量造成甲方返工的，乙方应承担由此给甲方带来的返工损失，甲方保留向乙方追索的权利；</w:t>
      </w:r>
    </w:p>
    <w:p w14:paraId="407C9DFA">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w:t>
      </w:r>
      <w:r>
        <w:rPr>
          <w:rFonts w:hint="eastAsia" w:ascii="仿宋" w:hAnsi="仿宋" w:eastAsia="仿宋" w:cs="Times New Roman"/>
          <w:b/>
          <w:sz w:val="24"/>
          <w:szCs w:val="24"/>
        </w:rPr>
        <w:t>砂、石料的数量确认采用过磅方式，在双方确认的计量衡器进行货物计量时，若卸车前后过磅获得的材料数量与送货单数量误差在±</w:t>
      </w:r>
      <w:r>
        <w:rPr>
          <w:rFonts w:ascii="仿宋" w:hAnsi="仿宋" w:eastAsia="仿宋" w:cs="Times New Roman"/>
          <w:b/>
          <w:sz w:val="24"/>
          <w:szCs w:val="24"/>
        </w:rPr>
        <w:t>3</w:t>
      </w:r>
      <w:r>
        <w:rPr>
          <w:rFonts w:hint="eastAsia" w:ascii="仿宋" w:hAnsi="仿宋" w:eastAsia="仿宋" w:cs="Times New Roman"/>
          <w:b/>
          <w:sz w:val="24"/>
          <w:szCs w:val="24"/>
        </w:rPr>
        <w:t>‰以内的，以送货单数量为准；若卸车前后过磅获得的材料数量与送货单数量误差超出±</w:t>
      </w:r>
      <w:r>
        <w:rPr>
          <w:rFonts w:ascii="仿宋" w:hAnsi="仿宋" w:eastAsia="仿宋" w:cs="Times New Roman"/>
          <w:b/>
          <w:sz w:val="24"/>
          <w:szCs w:val="24"/>
        </w:rPr>
        <w:t>3</w:t>
      </w:r>
      <w:r>
        <w:rPr>
          <w:rFonts w:hint="eastAsia" w:ascii="仿宋" w:hAnsi="仿宋" w:eastAsia="仿宋" w:cs="Times New Roman"/>
          <w:b/>
          <w:sz w:val="24"/>
          <w:szCs w:val="24"/>
        </w:rPr>
        <w:t>‰时，到货数量以不超过送货单数量的</w:t>
      </w:r>
      <w:r>
        <w:rPr>
          <w:rFonts w:ascii="仿宋" w:hAnsi="仿宋" w:eastAsia="仿宋" w:cs="Times New Roman"/>
          <w:b/>
          <w:sz w:val="24"/>
          <w:szCs w:val="24"/>
        </w:rPr>
        <w:t>1</w:t>
      </w:r>
      <w:r>
        <w:rPr>
          <w:rFonts w:hint="eastAsia" w:ascii="仿宋" w:hAnsi="仿宋" w:eastAsia="仿宋" w:cs="Times New Roman"/>
          <w:b/>
          <w:sz w:val="24"/>
          <w:szCs w:val="24"/>
        </w:rPr>
        <w:t>±</w:t>
      </w:r>
      <w:r>
        <w:rPr>
          <w:rFonts w:ascii="仿宋" w:hAnsi="仿宋" w:eastAsia="仿宋" w:cs="Times New Roman"/>
          <w:b/>
          <w:sz w:val="24"/>
          <w:szCs w:val="24"/>
        </w:rPr>
        <w:t>3</w:t>
      </w:r>
      <w:r>
        <w:rPr>
          <w:rFonts w:hint="eastAsia" w:ascii="仿宋" w:hAnsi="仿宋" w:eastAsia="仿宋" w:cs="Times New Roman"/>
          <w:b/>
          <w:sz w:val="24"/>
          <w:szCs w:val="24"/>
        </w:rPr>
        <w:t>‰波动范围内进行数量确认；</w:t>
      </w:r>
    </w:p>
    <w:p w14:paraId="1D75880E">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6、</w:t>
      </w:r>
      <w:r>
        <w:rPr>
          <w:rFonts w:hint="eastAsia" w:ascii="仿宋" w:hAnsi="仿宋" w:eastAsia="仿宋" w:cs="Times New Roman"/>
          <w:b/>
          <w:bCs/>
          <w:sz w:val="24"/>
          <w:szCs w:val="24"/>
        </w:rPr>
        <w:t>在甲方指定地点过磅验收，试验室每天按照规定频率对进场材料进行含水量、含粉量或含杂质量等指标（沥青碎石的含水量应≤1.0%，含粉量应≤0.8%；机制砂的含水量应≤1.0%，0.075mm以下含粉量应≤10%，以设计图纸要求为准）的测定，并建立台账。乙方需对当天的检测数据进行确认，如逾期不确认则视为同意该检测结果。检测数据在该材料每月结算时作为扣除依据，并在结算时统一扣除。</w:t>
      </w:r>
    </w:p>
    <w:p w14:paraId="5BD4F3EE">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 xml:space="preserve">第四条  计量与支付 </w:t>
      </w:r>
    </w:p>
    <w:p w14:paraId="51EAAFF6">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1、根据本合同第二条第2款确定的供货模式，双方结算前，对双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w:t>
      </w:r>
    </w:p>
    <w:p w14:paraId="0530714F">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sz w:val="24"/>
          <w:szCs w:val="24"/>
        </w:rPr>
        <w:t>2、</w:t>
      </w:r>
      <w:r>
        <w:rPr>
          <w:rFonts w:hint="eastAsia" w:ascii="仿宋" w:hAnsi="仿宋" w:eastAsia="仿宋" w:cs="Times New Roman"/>
          <w:color w:val="000000"/>
          <w:sz w:val="24"/>
          <w:szCs w:val="24"/>
        </w:rPr>
        <w:t>结算期的确定：</w:t>
      </w:r>
    </w:p>
    <w:p w14:paraId="10F10AC0">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（1）本项目以“结算月”或“自然月”为结算期，即：每月</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rPr>
        <w:t>日至下月</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日为一个结算期，双方办理材料结算，并签订结算书；</w:t>
      </w:r>
    </w:p>
    <w:p w14:paraId="464DC74E">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val="en-US" w:eastAsia="zh-CN"/>
        </w:rPr>
        <w:t>3</w:t>
      </w:r>
      <w:r>
        <w:rPr>
          <w:rFonts w:hint="eastAsia" w:ascii="仿宋" w:hAnsi="仿宋" w:eastAsia="仿宋" w:cs="Times New Roman"/>
          <w:color w:val="000000"/>
          <w:sz w:val="24"/>
          <w:szCs w:val="24"/>
        </w:rPr>
        <w:t>、款项支付：</w:t>
      </w:r>
    </w:p>
    <w:p w14:paraId="57B82BB1">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（1）无论本合同其他条款约定的甲方向乙方支付货款的期限是否届满，甲方在收到业主支付的备料款（或工程款）前无义务向乙方垫付相应部分货款；</w:t>
      </w:r>
    </w:p>
    <w:p w14:paraId="7EA74857">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（2）甲乙双方应及时对每期计量结算进行确认，甲方无义务向乙方垫付或预付双方已确认结算量之外的货款；</w:t>
      </w:r>
    </w:p>
    <w:p w14:paraId="42DDC5CC">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（3）本合同涉及的所有计量支付均由甲方支付到乙方在合同约定的银行账户，无特殊情况下，甲方不接受乙方提供的任何第三方收款银行账户或委托收款；</w:t>
      </w:r>
    </w:p>
    <w:p w14:paraId="12900751">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color w:val="000000"/>
          <w:sz w:val="24"/>
          <w:szCs w:val="24"/>
        </w:rPr>
        <w:t>（4）</w:t>
      </w:r>
      <w:r>
        <w:rPr>
          <w:rFonts w:hint="eastAsia" w:ascii="仿宋" w:hAnsi="仿宋" w:eastAsia="仿宋" w:cs="Times New Roman"/>
          <w:sz w:val="24"/>
          <w:szCs w:val="24"/>
        </w:rPr>
        <w:t>乙方同意甲方根据管理需要选择银行转账、支票或供应链金融等方式支付计量款项；</w:t>
      </w:r>
    </w:p>
    <w:p w14:paraId="491A1C11">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本合同价的</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%款项支付将选择供应链金融支付方式，乙方应根据该支付方式建立有效支付通道（包括但不限于在甲方指定银行开立结算账户、出具供应链金融有关文书等），甲方承担该支付方式产生的利息费用；</w:t>
      </w:r>
    </w:p>
    <w:p w14:paraId="54F6744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lang w:val="en-US" w:eastAsia="zh-CN"/>
        </w:rPr>
        <w:t>4</w:t>
      </w:r>
      <w:r>
        <w:rPr>
          <w:rFonts w:hint="eastAsia" w:ascii="仿宋" w:hAnsi="仿宋" w:eastAsia="仿宋" w:cs="Times New Roman"/>
          <w:sz w:val="24"/>
          <w:szCs w:val="24"/>
        </w:rPr>
        <w:t>、款项支付比例：</w:t>
      </w:r>
    </w:p>
    <w:p w14:paraId="210DA00D">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每期结算支付的材料款的比例为</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%，即甲方在双方办理当期结算并签订结算书后支付当期材料款项的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%。在甲方工程项目完工验收后三个月内且甲乙双方办理最终结算后（以时间后者为准）支付剩余材料款项至乙方。</w:t>
      </w:r>
    </w:p>
    <w:p w14:paraId="62EAD949">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在竣工验收前因砂石质量问题而需对工程进行修复所发生的费用及违约金、处罚等，甲方有权在应付款项中做相应扣款，如仍不能弥补甲方损失的，甲方可对乙方进行追偿；</w:t>
      </w:r>
    </w:p>
    <w:p w14:paraId="2BC6D10F">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lang w:val="en-US" w:eastAsia="zh-CN"/>
        </w:rPr>
        <w:t>5</w:t>
      </w:r>
      <w:r>
        <w:rPr>
          <w:rFonts w:hint="eastAsia" w:ascii="仿宋" w:hAnsi="仿宋" w:eastAsia="仿宋" w:cs="Times New Roman"/>
          <w:sz w:val="24"/>
          <w:szCs w:val="24"/>
        </w:rPr>
        <w:t>、乙方至少应有</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万元以上的垫付能力，以确保甲方资金周转困难时，乙方能保证砂石料的正常供应；</w:t>
      </w:r>
    </w:p>
    <w:p w14:paraId="367AAA6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lang w:val="en-US" w:eastAsia="zh-CN"/>
        </w:rPr>
        <w:t>6</w:t>
      </w:r>
      <w:r>
        <w:rPr>
          <w:rFonts w:hint="eastAsia" w:ascii="仿宋" w:hAnsi="仿宋" w:eastAsia="仿宋" w:cs="Times New Roman"/>
          <w:sz w:val="24"/>
          <w:szCs w:val="24"/>
        </w:rPr>
        <w:t>、材料数量以过磅方式进行确认，若换以方量进行结算时，按</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吨/m</w:t>
      </w:r>
      <w:r>
        <w:rPr>
          <w:rFonts w:hint="eastAsia" w:ascii="仿宋" w:hAnsi="仿宋" w:eastAsia="仿宋" w:cs="Times New Roman"/>
          <w:sz w:val="24"/>
          <w:szCs w:val="24"/>
          <w:vertAlign w:val="superscript"/>
        </w:rPr>
        <w:t>3</w:t>
      </w:r>
      <w:r>
        <w:rPr>
          <w:rFonts w:hint="eastAsia" w:ascii="仿宋" w:hAnsi="仿宋" w:eastAsia="仿宋" w:cs="Times New Roman"/>
          <w:sz w:val="24"/>
          <w:szCs w:val="24"/>
        </w:rPr>
        <w:t>的标准转换。</w:t>
      </w:r>
    </w:p>
    <w:p w14:paraId="04957198">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lang w:val="en-US" w:eastAsia="zh-CN"/>
        </w:rPr>
        <w:t>7</w:t>
      </w:r>
      <w:r>
        <w:rPr>
          <w:rFonts w:hint="eastAsia" w:ascii="仿宋" w:hAnsi="仿宋" w:eastAsia="仿宋" w:cs="Times New Roman"/>
          <w:sz w:val="24"/>
          <w:szCs w:val="24"/>
        </w:rPr>
        <w:t>、发票的提供</w:t>
      </w:r>
    </w:p>
    <w:p w14:paraId="216C17D9">
      <w:pPr>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lang w:val="en-US" w:eastAsia="zh-CN"/>
        </w:rPr>
        <w:t>7</w:t>
      </w:r>
      <w:r>
        <w:rPr>
          <w:rFonts w:hint="eastAsia" w:ascii="仿宋" w:hAnsi="仿宋" w:eastAsia="仿宋" w:cs="Times New Roman"/>
          <w:sz w:val="24"/>
          <w:szCs w:val="24"/>
        </w:rPr>
        <w:t>.1乙方应在每期结算确认后，在甲方资金支付前，根据合同内容和结算书内容向甲方出具相应增值税发票。以上条件不满足时，乙方不得向甲方申请支付款项，甲方有权停止支付且由乙方自身承担资金风险。</w:t>
      </w:r>
    </w:p>
    <w:p w14:paraId="0BA9B9B1">
      <w:pPr>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lang w:val="en-US" w:eastAsia="zh-CN"/>
        </w:rPr>
        <w:t>7</w:t>
      </w:r>
      <w:r>
        <w:rPr>
          <w:rFonts w:hint="eastAsia" w:ascii="仿宋" w:hAnsi="仿宋" w:eastAsia="仿宋" w:cs="Times New Roman"/>
          <w:sz w:val="24"/>
          <w:szCs w:val="24"/>
        </w:rPr>
        <w:t>.2乙方出具发票需同时满足以下原则：</w:t>
      </w:r>
    </w:p>
    <w:p w14:paraId="5C645B75">
      <w:pPr>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lang w:val="en-US" w:eastAsia="zh-CN"/>
        </w:rPr>
        <w:t>7</w:t>
      </w:r>
      <w:r>
        <w:rPr>
          <w:rFonts w:hint="eastAsia" w:ascii="仿宋" w:hAnsi="仿宋" w:eastAsia="仿宋" w:cs="Times New Roman"/>
          <w:sz w:val="24"/>
          <w:szCs w:val="24"/>
        </w:rPr>
        <w:t>.2.1发票金额</w:t>
      </w:r>
    </w:p>
    <w:p w14:paraId="613F83C3">
      <w:pPr>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乙方向甲方开具发票的金额需严格依据“累计确认结算量与资金支付量孰高原则”。</w:t>
      </w:r>
    </w:p>
    <w:p w14:paraId="6F20D1A0">
      <w:pPr>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lang w:val="en-US" w:eastAsia="zh-CN"/>
        </w:rPr>
        <w:t>7</w:t>
      </w:r>
      <w:r>
        <w:rPr>
          <w:rFonts w:hint="eastAsia" w:ascii="仿宋" w:hAnsi="仿宋" w:eastAsia="仿宋" w:cs="Times New Roman"/>
          <w:sz w:val="24"/>
          <w:szCs w:val="24"/>
        </w:rPr>
        <w:t>.2.2票面信息</w:t>
      </w:r>
    </w:p>
    <w:p w14:paraId="1635AAAD">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发票票面记载信息需符合“三流一致”原则，包括：①销售方信息需与货物或应税劳务、服务实际提供单位（即乙方）一致，并与实际收款人（即乙方）一致；②货物或应税劳务、服务名称等需与实际业务内容一致。③税率信息与清单税率或综合单价中包含的增值税税率一致。④发票类别（增值税专用发票或普通发票）与本项目的计税方法（一般计税方法或简易计税方法）匹配。</w:t>
      </w:r>
    </w:p>
    <w:p w14:paraId="3EF1350B">
      <w:pPr>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lang w:val="en-US" w:eastAsia="zh-CN"/>
        </w:rPr>
        <w:t>8</w:t>
      </w:r>
      <w:r>
        <w:rPr>
          <w:rFonts w:hint="eastAsia" w:ascii="仿宋" w:hAnsi="仿宋" w:eastAsia="仿宋" w:cs="Times New Roman"/>
          <w:sz w:val="24"/>
          <w:szCs w:val="24"/>
        </w:rPr>
        <w:t>、发票提供的责任</w:t>
      </w:r>
    </w:p>
    <w:p w14:paraId="557F3B2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47B44439">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72793C0A">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第五条  材料质量</w:t>
      </w:r>
    </w:p>
    <w:p w14:paraId="3151E14F">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1、乙方供应的各种规格砂、石料必须保证质量，各项指标应符合本项目设计和施工规范要求，经甲方验收合格后才能允许施工使用。</w:t>
      </w:r>
    </w:p>
    <w:p w14:paraId="006E9E2E">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2、砂、碎石的质量要求：</w:t>
      </w:r>
    </w:p>
    <w:p w14:paraId="4AEF88D2">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 xml:space="preserve">⑴砂：满足GB/T 14684-2001标准要求； </w:t>
      </w:r>
    </w:p>
    <w:p w14:paraId="393711BC">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⑵碎石：满足GB/T14685-2001标准要求；</w:t>
      </w:r>
    </w:p>
    <w:p w14:paraId="22AD8FE2">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⑶检验方法：满足《普通混凝土用砂、石质量及检验方法标准》（JGJ52-2006）要求；</w:t>
      </w:r>
    </w:p>
    <w:p w14:paraId="77D84D53">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 xml:space="preserve"> ⑷满足施工技术规范对砂、石的材质要求和配合比要求：</w:t>
      </w:r>
    </w:p>
    <w:p w14:paraId="77C934B1">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①《公路桥涵施工技术规范》（JTJ 041-2000）；</w:t>
      </w:r>
    </w:p>
    <w:p w14:paraId="50E7A4DD">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②《公路水泥混凝土路面施工技术规范》（JTG F30-2003）；</w:t>
      </w:r>
    </w:p>
    <w:p w14:paraId="3CDFA368">
      <w:pPr>
        <w:spacing w:line="360" w:lineRule="auto"/>
        <w:ind w:firstLine="480" w:firstLineChars="200"/>
        <w:jc w:val="left"/>
        <w:rPr>
          <w:rFonts w:hint="eastAsia" w:ascii="仿宋" w:hAnsi="仿宋" w:eastAsia="仿宋" w:cs="Times New Roman"/>
          <w:sz w:val="24"/>
          <w:szCs w:val="24"/>
          <w:lang w:val="zh-CN"/>
        </w:rPr>
      </w:pPr>
      <w:r>
        <w:rPr>
          <w:rFonts w:hint="eastAsia" w:ascii="仿宋" w:hAnsi="仿宋" w:eastAsia="仿宋" w:cs="Times New Roman"/>
          <w:sz w:val="24"/>
          <w:szCs w:val="24"/>
        </w:rPr>
        <w:t>③</w:t>
      </w:r>
      <w:r>
        <w:rPr>
          <w:rFonts w:hint="eastAsia" w:ascii="仿宋" w:hAnsi="仿宋" w:eastAsia="仿宋" w:cs="Times New Roman"/>
          <w:sz w:val="24"/>
          <w:szCs w:val="24"/>
          <w:lang w:val="zh-CN"/>
        </w:rPr>
        <w:t>《公路沥青路面施工技术规范》（JTG F40-2004）；</w:t>
      </w:r>
    </w:p>
    <w:p w14:paraId="0A28CDC2">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lang w:val="zh-CN"/>
        </w:rPr>
        <w:t>④《公路隧道施工技术规范》（JTG F60-2009）。</w:t>
      </w:r>
    </w:p>
    <w:p w14:paraId="76F76840">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3、如提供不合格产品用于本工程而发生的质量问题，由此给甲方造成的损失全部由乙方负责；</w:t>
      </w:r>
    </w:p>
    <w:p w14:paraId="21857BF8">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4、如果给甲方、业主、监理或质检站等监督、管理单位发现材料不符合设计或规范要求，乙方必须无条件自费将不合格材料清理出场；</w:t>
      </w:r>
    </w:p>
    <w:p w14:paraId="0C0C739B">
      <w:pPr>
        <w:spacing w:line="360" w:lineRule="auto"/>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5、验证方法和质保期限：取样和试验应符合现行施工规范的规定；质保期限为本工程竣工后缺陷责任期满为终止。</w:t>
      </w:r>
    </w:p>
    <w:p w14:paraId="1AEF5CA6">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第六条  双方责任</w:t>
      </w:r>
    </w:p>
    <w:p w14:paraId="140469EF">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sz w:val="24"/>
          <w:szCs w:val="24"/>
        </w:rPr>
        <w:t>（一）甲方责任</w:t>
      </w:r>
    </w:p>
    <w:p w14:paraId="4374988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1、甲方负责本合同第二条约定供货模式下甲方应负的责任；</w:t>
      </w:r>
    </w:p>
    <w:p w14:paraId="7726727F">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2、甲方按设计及施工要求向乙方提供所需材料的规格、数量和用料计划；</w:t>
      </w:r>
    </w:p>
    <w:p w14:paraId="21FAC53D">
      <w:pPr>
        <w:tabs>
          <w:tab w:val="left" w:pos="1873"/>
        </w:tabs>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3、甲方负责对砂石料质量进行抽检，并做好使用前的试验工作，以确保其符合本项目设计和施工规范要求；</w:t>
      </w:r>
    </w:p>
    <w:p w14:paraId="49FDA80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4、当乙方供应的材料质量不符合要求，或材料产量、运输供应不能满足甲方施工进度需求时，甲方将有权做出如下决定，乙方对此不得存在异议：</w:t>
      </w:r>
    </w:p>
    <w:p w14:paraId="230EB3D0">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⑴对已进拌和场的不合格材料清理出场，其处理费用由乙方负责；</w:t>
      </w:r>
    </w:p>
    <w:p w14:paraId="4C1BCF93">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⑵甲方重新外购材料以保证施工进度的需要，外购部分的材料到场单价高出乙方供应综合单价的部分从乙方材料款中扣除，以补偿甲方损失；</w:t>
      </w:r>
    </w:p>
    <w:p w14:paraId="36965336">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 xml:space="preserve"> ⑶中止合同执行并保留索赔的权利；</w:t>
      </w:r>
    </w:p>
    <w:p w14:paraId="443E2D06">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5、随时依照向乙方提供的备料计划和供料计划检查乙方的执行情况，如乙方未能完成合同规定和满足甲方要求，甲方有权责成乙方即时整改或终止合同；</w:t>
      </w:r>
    </w:p>
    <w:p w14:paraId="3FB9EC6E">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6、如乙方不能按甲方要求履行此合同义务时，甲方有权选用备用供应商完成该项目砂石料供应的，乙方不得阻挠；</w:t>
      </w:r>
    </w:p>
    <w:p w14:paraId="690E4734">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7、按合同要求进行对账、确认数量、支付材料款。</w:t>
      </w:r>
    </w:p>
    <w:p w14:paraId="7636B75B">
      <w:pPr>
        <w:spacing w:line="360" w:lineRule="auto"/>
        <w:ind w:firstLine="482" w:firstLineChars="200"/>
        <w:rPr>
          <w:rFonts w:hint="eastAsia" w:ascii="仿宋" w:hAnsi="仿宋" w:eastAsia="仿宋" w:cs="Times New Roman"/>
          <w:b/>
          <w:sz w:val="24"/>
          <w:szCs w:val="24"/>
        </w:rPr>
      </w:pPr>
      <w:r>
        <w:rPr>
          <w:rFonts w:hint="eastAsia" w:ascii="仿宋" w:hAnsi="仿宋" w:eastAsia="仿宋" w:cs="Times New Roman"/>
          <w:b/>
          <w:sz w:val="24"/>
          <w:szCs w:val="24"/>
        </w:rPr>
        <w:t>（二）乙方责任</w:t>
      </w:r>
    </w:p>
    <w:p w14:paraId="501AEF23">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1、乙方负责本合同第二条约定供货模式下乙方应负的责任；</w:t>
      </w:r>
    </w:p>
    <w:p w14:paraId="2382E8C5">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2、乙方必须在甲方指定的货源地范围，以及乙方投标报价选择的砂石料场内组织货源，将材料运至（或加工后运至）甲方指定的搅拌站堆料</w:t>
      </w:r>
      <w:r>
        <w:rPr>
          <w:rFonts w:hint="eastAsia" w:ascii="仿宋" w:hAnsi="仿宋" w:eastAsia="仿宋" w:cs="Times New Roman"/>
          <w:color w:val="000000"/>
          <w:sz w:val="24"/>
          <w:szCs w:val="24"/>
        </w:rPr>
        <w:t>场</w:t>
      </w:r>
      <w:r>
        <w:rPr>
          <w:rFonts w:hint="eastAsia" w:ascii="仿宋" w:hAnsi="仿宋" w:eastAsia="仿宋" w:cs="Times New Roman"/>
          <w:sz w:val="24"/>
          <w:szCs w:val="24"/>
        </w:rPr>
        <w:t>；</w:t>
      </w:r>
    </w:p>
    <w:p w14:paraId="22AF35D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3、按照甲方提出的供料计划进行各种规格材料的供应，以满足甲方施工的用料需求；</w:t>
      </w:r>
    </w:p>
    <w:p w14:paraId="460BCCC3">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4、严格按砂石料的质量要求和施工要求确保材料的质量，备料数量符合甲方计划要求，确保并满足甲方施工需要；</w:t>
      </w:r>
    </w:p>
    <w:p w14:paraId="6350B762">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5、接受项目监理工程师和甲方质检人员对砂、石料质量的监督与检查，保证材料质量满足规范要求，不合格材料不得进入甲方的备料场；</w:t>
      </w:r>
    </w:p>
    <w:p w14:paraId="37969D9F">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6、当砂、石料的质量或乙方供应能力不能满足甲方的要求时，除按本条（一）第4款的规定处理外，对甲方造成的所有损失（如业主罚款、误工等）均由乙方承担；</w:t>
      </w:r>
    </w:p>
    <w:p w14:paraId="5423D19D">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7、乙方运输车经过地方道路、桥梁、村庄、水利设施、河堤、路堤等，应注意加强环保措施，定期派人清理，如造成损坏必须及时修复，如遇有关单位提出赔偿时，由乙方自行协商解决，甲方不承担任何责任；</w:t>
      </w:r>
    </w:p>
    <w:p w14:paraId="70D20E88">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8、乙方要采取有效措施确保生产、运输安全，乙方在生产过程中发生的任何安全伤亡事故，以及在运输过程中发生的交通事故，由乙方自己负责，甲方不承担任何责任；</w:t>
      </w:r>
    </w:p>
    <w:p w14:paraId="4E32228A">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9、乙方运输时与第三方发生任何纠纷均与甲方无关，乙方需自行解决；</w:t>
      </w:r>
    </w:p>
    <w:p w14:paraId="33F1E976">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10、乙方运输车进入甲方工地范围内时，必须遵守甲方的规章制度，服从甲方人员指挥，注意安全、不损坏甲方项目内设施，自觉控制运输车辆的速度与噪声。如果乙方原因引起设施损坏、安全等故事的，由乙方承担责任；</w:t>
      </w:r>
    </w:p>
    <w:p w14:paraId="171ED74D">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11、乙方提供的砂石料须明确来源，一般情况下不允许私自更改砂石料产地，若在特殊情况下需要更改产地的，必须提前告知甲方，经同意后再行更改；</w:t>
      </w:r>
    </w:p>
    <w:p w14:paraId="2C670217">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12、在运卸料过程中，乙方必须按照甲方的要求在指定位置卸料并保持料场的整洁，不可任意乱倒乱卸；</w:t>
      </w:r>
    </w:p>
    <w:p w14:paraId="49187423">
      <w:pPr>
        <w:spacing w:line="360" w:lineRule="auto"/>
        <w:ind w:firstLine="480" w:firstLineChars="200"/>
        <w:rPr>
          <w:rFonts w:hint="eastAsia" w:ascii="仿宋" w:hAnsi="仿宋" w:eastAsia="仿宋" w:cs="Times New Roman"/>
          <w:b/>
          <w:color w:val="FF0000"/>
          <w:sz w:val="24"/>
          <w:szCs w:val="24"/>
        </w:rPr>
      </w:pPr>
      <w:r>
        <w:rPr>
          <w:rFonts w:hint="eastAsia" w:ascii="仿宋" w:hAnsi="仿宋" w:eastAsia="仿宋" w:cs="Times New Roman"/>
          <w:sz w:val="24"/>
          <w:szCs w:val="24"/>
        </w:rPr>
        <w:t>13、考虑到甲方搅拌站堆料场的规模大小及运输过程难免出现外部因素阻挠或其它因素，为保证甲方施工的需要，乙方必须在搅拌站附近备有面积不小于</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m</w:t>
      </w:r>
      <w:r>
        <w:rPr>
          <w:rFonts w:hint="eastAsia" w:ascii="仿宋" w:hAnsi="仿宋" w:eastAsia="仿宋" w:cs="Times New Roman"/>
          <w:sz w:val="24"/>
          <w:szCs w:val="24"/>
          <w:vertAlign w:val="superscript"/>
        </w:rPr>
        <w:t>2</w:t>
      </w:r>
      <w:r>
        <w:rPr>
          <w:rFonts w:hint="eastAsia" w:ascii="仿宋" w:hAnsi="仿宋" w:eastAsia="仿宋" w:cs="Times New Roman"/>
          <w:sz w:val="24"/>
          <w:szCs w:val="24"/>
        </w:rPr>
        <w:t>储料场，保证每一搅拌站场每一种规格砂石料必须最少储存</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m</w:t>
      </w:r>
      <w:r>
        <w:rPr>
          <w:rFonts w:hint="eastAsia" w:ascii="仿宋" w:hAnsi="仿宋" w:eastAsia="仿宋" w:cs="Times New Roman"/>
          <w:sz w:val="24"/>
          <w:szCs w:val="24"/>
          <w:vertAlign w:val="superscript"/>
        </w:rPr>
        <w:t>2</w:t>
      </w:r>
      <w:r>
        <w:rPr>
          <w:rFonts w:hint="eastAsia" w:ascii="仿宋" w:hAnsi="仿宋" w:eastAsia="仿宋" w:cs="Times New Roman"/>
          <w:sz w:val="24"/>
          <w:szCs w:val="24"/>
        </w:rPr>
        <w:t>砂石料，保证每次浇注砼后，甲方的料场能在24小时内补充满。</w:t>
      </w:r>
    </w:p>
    <w:p w14:paraId="01BE1B0C">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第七条  违约责任</w:t>
      </w:r>
    </w:p>
    <w:p w14:paraId="30C0484A">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1、在施工过程中，乙方不能按砂石料质量要求或项目设计要求供应砂石料，情节严重的甲方有权终止合同，并且停止支付材料款并有权要求乙方支付本合同价款的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%作为违约金；延误及返工造成的损失，乙方应予赔偿；</w:t>
      </w:r>
    </w:p>
    <w:p w14:paraId="0E474CC0">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2、乙方不按时供货时，甲方按每违约1次(一天以内)则罚款</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万元，累计三次，甲方有权终止合同，并由此而造成的甲方经济损失均由乙方负责；</w:t>
      </w:r>
    </w:p>
    <w:p w14:paraId="00919DB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合同签订后，甲方有权根据工程的施工情况和乙方材料供应的情况调整乙方的供应任务，但未经双方协商同意，任何一方不得擅自解除合同。如乙方未经甲方同意，单方解除合同时，或未能按时、合理地组织材料的供应，影响工程的进度或质量，或无正当理由，不履行合同规定的义务或屡不服从甲方的指挥，甲方有权不予支付剩余比例的材料款，并要求乙方赔偿甲方因影响施工计划安排造成的经济损失；如乙方原因，甲方有权解除合同，乙方必须按甲方要求退场，由此造成损失由乙方负责；</w:t>
      </w:r>
    </w:p>
    <w:p w14:paraId="7B12EBE8">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4、未经甲方书面同意，乙方不得进行任何形式将本合同约定的义务交由第三人履行，否则视为违约，甲方有权没收合同履约保证金，终止合同，并要求乙方赔偿因此对甲方造成的损失；</w:t>
      </w:r>
    </w:p>
    <w:p w14:paraId="552BDA81">
      <w:pPr>
        <w:spacing w:line="360" w:lineRule="auto"/>
        <w:ind w:firstLine="480" w:firstLineChars="200"/>
        <w:rPr>
          <w:rFonts w:ascii="仿宋" w:hAnsi="仿宋" w:eastAsia="仿宋" w:cs="Times New Roman"/>
          <w:bCs/>
          <w:sz w:val="24"/>
          <w:szCs w:val="24"/>
        </w:rPr>
      </w:pPr>
      <w:r>
        <w:rPr>
          <w:rFonts w:hint="eastAsia" w:ascii="仿宋" w:hAnsi="仿宋" w:eastAsia="仿宋" w:cs="Times New Roman"/>
          <w:bCs/>
          <w:sz w:val="24"/>
          <w:szCs w:val="24"/>
        </w:rPr>
        <w:t>5、进入备料场的材料，如备料场没有安装地磅，则送货数量以石场送货磅单为准，项目部材料管理员按频率每天抽查过磅，如发现超出1吨以上的无特殊原因给予乙方罚款警告处理；</w:t>
      </w:r>
    </w:p>
    <w:p w14:paraId="123D76BE">
      <w:pPr>
        <w:spacing w:line="360" w:lineRule="auto"/>
        <w:ind w:firstLine="480" w:firstLineChars="200"/>
        <w:rPr>
          <w:rFonts w:hint="eastAsia" w:ascii="仿宋" w:hAnsi="仿宋" w:eastAsia="仿宋" w:cs="Times New Roman"/>
          <w:bCs/>
          <w:sz w:val="24"/>
          <w:szCs w:val="24"/>
        </w:rPr>
      </w:pPr>
      <w:r>
        <w:rPr>
          <w:rFonts w:hint="eastAsia" w:ascii="仿宋" w:hAnsi="仿宋" w:eastAsia="仿宋" w:cs="Times New Roman"/>
          <w:bCs/>
          <w:sz w:val="24"/>
          <w:szCs w:val="24"/>
        </w:rPr>
        <w:t>6、进入备料场的材料，如发现签单后未卸货即离场的，甲方有权解除合同并要求乙方支付违约金1-10万元；</w:t>
      </w:r>
    </w:p>
    <w:p w14:paraId="61F6F7B7">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7、乙方因本合同产生的包括但不限于给甲方造成的损失、违约金、处罚款等款项，甲方有权在应付款项中优先扣减，仍不能弥补甲方损失的，甲方有权向乙方进行追偿。</w:t>
      </w:r>
    </w:p>
    <w:p w14:paraId="22F169CE">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第八条 其他</w:t>
      </w:r>
    </w:p>
    <w:p w14:paraId="188A15D2">
      <w:pPr>
        <w:autoSpaceDE w:val="0"/>
        <w:autoSpaceDN w:val="0"/>
        <w:adjustRightInd w:val="0"/>
        <w:spacing w:line="360" w:lineRule="auto"/>
        <w:ind w:firstLine="480" w:firstLineChars="200"/>
        <w:contextualSpacing/>
        <w:jc w:val="left"/>
        <w:rPr>
          <w:rFonts w:hint="eastAsia" w:ascii="仿宋" w:hAnsi="仿宋" w:eastAsia="仿宋" w:cs="Times New Roman"/>
          <w:sz w:val="24"/>
          <w:szCs w:val="24"/>
        </w:rPr>
      </w:pPr>
      <w:r>
        <w:rPr>
          <w:rFonts w:hint="eastAsia" w:ascii="仿宋" w:hAnsi="仿宋" w:eastAsia="仿宋" w:cs="Times New Roman"/>
          <w:sz w:val="24"/>
          <w:szCs w:val="24"/>
        </w:rPr>
        <w:t>1、</w:t>
      </w:r>
      <w:r>
        <w:rPr>
          <w:rFonts w:hint="eastAsia" w:ascii="仿宋" w:hAnsi="仿宋" w:eastAsia="仿宋" w:cs="仿宋"/>
          <w:bCs/>
          <w:kern w:val="0"/>
          <w:sz w:val="24"/>
          <w:szCs w:val="20"/>
        </w:rPr>
        <w:t>甲方不允许项目部人员擅自变更本合同以及以甲方或甲方项目部名义对外借款等。甲方与乙方之间签订的任何合同、协议、补充合同、承诺书、确认单等均以甲方委派项目经历签字并加盖公司公章或公司合同专用章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5EF2324A">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不可抗力所致及其处理：因不可抗力导致本合同实施延误或不能履行合同义务，当事方应尽一切可能做好善后工作，并事后以书面形式将不可抗力的情况和原因通知对方，双方协商解决并履行不受不可抗力的影响的其他事项；</w:t>
      </w:r>
    </w:p>
    <w:p w14:paraId="5C8740F1">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合同修改：除了双方签署书面修改协议并成为本合同不可分割的一部分的情况之外，本合同的条款不得有任何变化或修改。其中甲、乙双方为本合同材料供应所编制的采购文件和报价文件均作为本合同的有效组成部分，并对甲乙双方具有同样约束力；</w:t>
      </w:r>
    </w:p>
    <w:p w14:paraId="2B2EEBF6">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4、乙方报价文件所涉及的内容和承诺的事项，将成为本合同的有效组织部分；</w:t>
      </w:r>
    </w:p>
    <w:p w14:paraId="3871F8EC">
      <w:pPr>
        <w:spacing w:line="360" w:lineRule="auto"/>
        <w:ind w:firstLine="480" w:firstLineChars="200"/>
        <w:rPr>
          <w:rFonts w:hint="eastAsia" w:ascii="仿宋" w:hAnsi="仿宋" w:eastAsia="仿宋" w:cs="Times New Roman"/>
          <w:color w:val="3366FF"/>
          <w:sz w:val="24"/>
          <w:szCs w:val="24"/>
        </w:rPr>
      </w:pPr>
      <w:r>
        <w:rPr>
          <w:rFonts w:hint="eastAsia" w:ascii="仿宋" w:hAnsi="仿宋" w:eastAsia="仿宋" w:cs="Times New Roman"/>
          <w:sz w:val="24"/>
          <w:szCs w:val="24"/>
        </w:rPr>
        <w:t>5、本合同未尽事宜，由双方双好协商解决，或订立补充合同或协议，如有争议协商不成时，任何一方可向甲方所在地有管辖权的人民法院提起诉讼；</w:t>
      </w:r>
    </w:p>
    <w:p w14:paraId="073CF95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6、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3964B195">
      <w:pPr>
        <w:spacing w:line="360" w:lineRule="auto"/>
        <w:ind w:firstLine="480" w:firstLineChars="200"/>
        <w:rPr>
          <w:rFonts w:hint="default" w:ascii="仿宋" w:hAnsi="仿宋" w:eastAsia="仿宋" w:cs="Times New Roman"/>
          <w:sz w:val="24"/>
          <w:szCs w:val="24"/>
          <w:lang w:val="en-US"/>
        </w:rPr>
      </w:pPr>
      <w:r>
        <w:rPr>
          <w:rFonts w:hint="eastAsia" w:ascii="仿宋" w:hAnsi="仿宋" w:eastAsia="仿宋" w:cs="Times New Roman"/>
          <w:sz w:val="24"/>
          <w:szCs w:val="24"/>
        </w:rPr>
        <w:t>甲方地址：</w:t>
      </w:r>
      <w:r>
        <w:rPr>
          <w:rFonts w:hint="eastAsia" w:ascii="仿宋" w:hAnsi="仿宋" w:eastAsia="仿宋" w:cs="Times New Roman"/>
          <w:sz w:val="24"/>
          <w:szCs w:val="20"/>
          <w:highlight w:val="none"/>
          <w:u w:val="single"/>
          <w:lang w:val="en-US" w:eastAsia="zh-CN"/>
        </w:rPr>
        <w:t xml:space="preserve">                    </w:t>
      </w:r>
    </w:p>
    <w:p w14:paraId="45A84D2D">
      <w:pPr>
        <w:spacing w:line="360" w:lineRule="auto"/>
        <w:ind w:firstLine="480" w:firstLineChars="200"/>
        <w:rPr>
          <w:rFonts w:hint="default" w:ascii="仿宋" w:hAnsi="仿宋" w:eastAsia="仿宋" w:cs="Times New Roman"/>
          <w:sz w:val="24"/>
          <w:szCs w:val="24"/>
          <w:u w:val="single"/>
          <w:lang w:val="en-US" w:eastAsia="zh-CN"/>
        </w:rPr>
      </w:pPr>
      <w:r>
        <w:rPr>
          <w:rFonts w:hint="eastAsia" w:ascii="仿宋" w:hAnsi="仿宋" w:eastAsia="仿宋" w:cs="Times New Roman"/>
          <w:sz w:val="24"/>
          <w:szCs w:val="24"/>
        </w:rPr>
        <w:t>乙方地址：</w:t>
      </w:r>
      <w:r>
        <w:rPr>
          <w:rFonts w:hint="eastAsia" w:ascii="仿宋" w:hAnsi="仿宋" w:eastAsia="仿宋" w:cs="Times New Roman"/>
          <w:sz w:val="24"/>
          <w:szCs w:val="24"/>
          <w:u w:val="single"/>
          <w:lang w:val="en-US" w:eastAsia="zh-CN"/>
        </w:rPr>
        <w:t xml:space="preserve">                    </w:t>
      </w:r>
    </w:p>
    <w:p w14:paraId="0D5EF457">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7、本合同一式</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份，甲方执</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份，乙方执</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份，具有同等的法律效力；</w:t>
      </w:r>
    </w:p>
    <w:p w14:paraId="2DFB42A8">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8、本合同在双方签字盖章后生效，双方履行完毕合同中全部责任后自然终止。</w:t>
      </w:r>
    </w:p>
    <w:p w14:paraId="756E0099">
      <w:pPr>
        <w:spacing w:line="360" w:lineRule="auto"/>
        <w:ind w:right="-874" w:rightChars="-416" w:firstLine="480" w:firstLineChars="200"/>
        <w:rPr>
          <w:rFonts w:hint="eastAsia" w:ascii="仿宋" w:hAnsi="仿宋" w:eastAsia="仿宋" w:cs="Times New Roman"/>
          <w:sz w:val="24"/>
          <w:szCs w:val="24"/>
        </w:rPr>
      </w:pPr>
    </w:p>
    <w:p w14:paraId="52ED9907">
      <w:pPr>
        <w:spacing w:line="360" w:lineRule="auto"/>
        <w:ind w:right="-874" w:rightChars="-416" w:firstLine="480" w:firstLineChars="200"/>
        <w:rPr>
          <w:rFonts w:hint="eastAsia" w:ascii="仿宋" w:hAnsi="仿宋" w:eastAsia="仿宋" w:cs="Times New Roman"/>
          <w:sz w:val="24"/>
          <w:szCs w:val="24"/>
        </w:rPr>
      </w:pPr>
    </w:p>
    <w:p w14:paraId="5CB77B54">
      <w:pPr>
        <w:spacing w:line="360" w:lineRule="auto"/>
        <w:ind w:right="-874" w:rightChars="-416" w:firstLine="480" w:firstLineChars="200"/>
        <w:rPr>
          <w:rFonts w:hint="eastAsia" w:ascii="仿宋" w:hAnsi="仿宋" w:eastAsia="仿宋" w:cs="Times New Roman"/>
          <w:sz w:val="24"/>
          <w:szCs w:val="24"/>
        </w:rPr>
      </w:pPr>
    </w:p>
    <w:p w14:paraId="67D2C2A0">
      <w:pPr>
        <w:spacing w:line="720" w:lineRule="auto"/>
        <w:ind w:right="-874" w:rightChars="-416"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（本行以下无正文）</w:t>
      </w:r>
    </w:p>
    <w:p w14:paraId="127C9B0A">
      <w:pPr>
        <w:spacing w:line="720" w:lineRule="auto"/>
        <w:ind w:right="-874" w:rightChars="-416"/>
        <w:rPr>
          <w:rFonts w:hint="eastAsia" w:ascii="仿宋" w:hAnsi="仿宋" w:eastAsia="仿宋" w:cs="Times New Roman"/>
          <w:sz w:val="24"/>
          <w:szCs w:val="24"/>
        </w:rPr>
      </w:pPr>
    </w:p>
    <w:p w14:paraId="734463C5">
      <w:pPr>
        <w:autoSpaceDE w:val="0"/>
        <w:autoSpaceDN w:val="0"/>
        <w:spacing w:line="720" w:lineRule="auto"/>
        <w:ind w:left="6000" w:hanging="6000" w:hangingChars="2500"/>
        <w:rPr>
          <w:rFonts w:ascii="仿宋" w:hAnsi="仿宋" w:eastAsia="仿宋" w:cs="Times New Roman"/>
          <w:sz w:val="24"/>
          <w:szCs w:val="24"/>
        </w:rPr>
      </w:pPr>
      <w:r>
        <w:rPr>
          <w:rFonts w:hint="eastAsia" w:ascii="仿宋" w:hAnsi="仿宋" w:eastAsia="仿宋" w:cs="Times New Roman"/>
          <w:sz w:val="24"/>
          <w:szCs w:val="24"/>
        </w:rPr>
        <w:t>甲方：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(盖章)</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乙方：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（盖章）</w:t>
      </w:r>
      <w:r>
        <w:rPr>
          <w:rFonts w:ascii="仿宋" w:hAnsi="仿宋" w:eastAsia="仿宋" w:cs="Times New Roman"/>
          <w:sz w:val="24"/>
          <w:szCs w:val="24"/>
        </w:rPr>
        <w:t xml:space="preserve">                                    </w:t>
      </w:r>
    </w:p>
    <w:p w14:paraId="7A9971A5">
      <w:pPr>
        <w:spacing w:line="720" w:lineRule="auto"/>
        <w:rPr>
          <w:rFonts w:hint="eastAsia" w:ascii="仿宋" w:hAnsi="仿宋" w:eastAsia="仿宋" w:cs="Times New Roman"/>
          <w:sz w:val="24"/>
          <w:szCs w:val="24"/>
        </w:rPr>
      </w:pPr>
      <w:r>
        <w:rPr>
          <w:rFonts w:hint="eastAsia" w:ascii="仿宋" w:hAnsi="仿宋" w:eastAsia="仿宋" w:cs="Times New Roman"/>
          <w:sz w:val="24"/>
          <w:szCs w:val="24"/>
        </w:rPr>
        <w:t xml:space="preserve">法定代表人:  </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 xml:space="preserve">(签名)          法定代表人: </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 xml:space="preserve"> (签名)</w:t>
      </w:r>
    </w:p>
    <w:p w14:paraId="478AE5B2">
      <w:pPr>
        <w:spacing w:line="720" w:lineRule="auto"/>
        <w:rPr>
          <w:rFonts w:ascii="仿宋" w:hAnsi="仿宋" w:eastAsia="仿宋" w:cs="Times New Roman"/>
          <w:sz w:val="24"/>
          <w:szCs w:val="24"/>
        </w:rPr>
      </w:pPr>
      <w:r>
        <w:rPr>
          <w:rFonts w:hint="eastAsia" w:ascii="仿宋" w:hAnsi="仿宋" w:eastAsia="仿宋" w:cs="Times New Roman"/>
          <w:sz w:val="24"/>
          <w:szCs w:val="24"/>
        </w:rPr>
        <w:t>或委托代理人：</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 xml:space="preserve"> (签名)          或委托代理人：</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 xml:space="preserve"> (签名)          </w:t>
      </w:r>
      <w:r>
        <w:rPr>
          <w:rFonts w:ascii="仿宋" w:hAnsi="仿宋" w:eastAsia="仿宋" w:cs="Times New Roman"/>
          <w:sz w:val="24"/>
          <w:szCs w:val="24"/>
        </w:rPr>
        <w:t xml:space="preserve">     </w:t>
      </w:r>
    </w:p>
    <w:p w14:paraId="62791604">
      <w:pPr>
        <w:spacing w:line="720" w:lineRule="auto"/>
        <w:rPr>
          <w:rFonts w:hint="default" w:ascii="仿宋" w:hAnsi="仿宋" w:eastAsia="仿宋"/>
          <w:sz w:val="24"/>
          <w:szCs w:val="24"/>
          <w:lang w:val="en-US" w:eastAsia="zh-CN"/>
        </w:rPr>
        <w:sectPr>
          <w:footerReference r:id="rId7" w:type="default"/>
          <w:pgSz w:w="11906" w:h="16838"/>
          <w:pgMar w:top="1247" w:right="1701" w:bottom="1440" w:left="1701" w:header="851" w:footer="992" w:gutter="0"/>
          <w:cols w:space="720" w:num="1"/>
          <w:docGrid w:type="lines" w:linePitch="312" w:charSpace="0"/>
        </w:sectPr>
      </w:pPr>
      <w:r>
        <w:rPr>
          <w:rFonts w:hint="eastAsia" w:ascii="仿宋" w:hAnsi="仿宋" w:eastAsia="仿宋" w:cs="Times New Roman"/>
          <w:sz w:val="24"/>
          <w:szCs w:val="24"/>
        </w:rPr>
        <w:t>签订时间：                            签订时间：</w:t>
      </w:r>
      <w:r>
        <w:rPr>
          <w:rFonts w:hint="eastAsia" w:ascii="仿宋" w:hAnsi="仿宋" w:eastAsia="仿宋" w:cs="Times New Roman"/>
          <w:sz w:val="24"/>
          <w:szCs w:val="24"/>
          <w:lang w:val="en-US" w:eastAsia="zh-CN"/>
        </w:rPr>
        <w:t xml:space="preserve">                    </w:t>
      </w:r>
    </w:p>
    <w:p w14:paraId="7FF5B2CF">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惠州市双月湾美丽海湾建设项目施工</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（编号04号）砂、石料</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竞价</w:t>
      </w:r>
      <w:r>
        <w:rPr>
          <w:rFonts w:hint="eastAsia" w:ascii="宋体" w:hAnsi="宋体" w:eastAsia="宋体" w:cs="宋体"/>
          <w:b/>
          <w:bCs/>
          <w:color w:val="auto"/>
          <w:kern w:val="2"/>
          <w:sz w:val="36"/>
          <w:szCs w:val="36"/>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8"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5C53DA9-6688-47E6-9606-8402969D45D7}"/>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6A1B665C-2EF5-4EEE-9BBE-BAAF118C887F}"/>
  </w:font>
  <w:font w:name="仿宋">
    <w:panose1 w:val="02010609060101010101"/>
    <w:charset w:val="86"/>
    <w:family w:val="auto"/>
    <w:pitch w:val="default"/>
    <w:sig w:usb0="800002BF" w:usb1="38CF7CFA" w:usb2="00000016" w:usb3="00000000" w:csb0="00040001" w:csb1="00000000"/>
    <w:embedRegular r:id="rId3" w:fontKey="{AAB5B3B5-FC91-47F9-AF8F-98701F6F4EB6}"/>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embedRegular r:id="rId4" w:fontKey="{C570114E-5F61-4A99-9B1F-A61113A96081}"/>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5" w:fontKey="{9C9F9A39-9193-441A-BB72-4592A3DD836D}"/>
  </w:font>
  <w:font w:name="方正书宋简体">
    <w:panose1 w:val="02000000000000000000"/>
    <w:charset w:val="86"/>
    <w:family w:val="auto"/>
    <w:pitch w:val="default"/>
    <w:sig w:usb0="A00002BF" w:usb1="184F6CFA" w:usb2="00000012"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C92CA">
    <w:pPr>
      <w:widowControl w:val="0"/>
      <w:snapToGrid w:val="0"/>
      <w:jc w:val="center"/>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zh-CN" w:eastAsia="zh-CN" w:bidi="ar-SA"/>
      </w:rPr>
      <w:t xml:space="preserve"> </w:t>
    </w:r>
    <w:r>
      <w:rPr>
        <w:rFonts w:ascii="Times New Roman" w:hAnsi="Times New Roman" w:eastAsia="宋体" w:cs="Times New Roman"/>
        <w:b/>
        <w:bCs/>
        <w:kern w:val="2"/>
        <w:sz w:val="24"/>
        <w:szCs w:val="24"/>
        <w:lang w:val="en-US" w:eastAsia="zh-CN" w:bidi="ar-SA"/>
      </w:rPr>
      <w:fldChar w:fldCharType="begin"/>
    </w:r>
    <w:r>
      <w:rPr>
        <w:rFonts w:ascii="Times New Roman" w:hAnsi="Times New Roman" w:eastAsia="宋体" w:cs="Times New Roman"/>
        <w:b/>
        <w:bCs/>
        <w:kern w:val="2"/>
        <w:sz w:val="18"/>
        <w:szCs w:val="18"/>
        <w:lang w:val="en-US" w:eastAsia="zh-CN" w:bidi="ar-SA"/>
      </w:rPr>
      <w:instrText xml:space="preserve">PAGE</w:instrText>
    </w:r>
    <w:r>
      <w:rPr>
        <w:rFonts w:ascii="Times New Roman" w:hAnsi="Times New Roman" w:eastAsia="宋体" w:cs="Times New Roman"/>
        <w:b/>
        <w:bCs/>
        <w:kern w:val="2"/>
        <w:sz w:val="24"/>
        <w:szCs w:val="24"/>
        <w:lang w:val="en-US" w:eastAsia="zh-CN" w:bidi="ar-SA"/>
      </w:rPr>
      <w:fldChar w:fldCharType="separate"/>
    </w:r>
    <w:r>
      <w:rPr>
        <w:rFonts w:ascii="Times New Roman" w:hAnsi="Times New Roman" w:eastAsia="宋体" w:cs="Times New Roman"/>
        <w:b/>
        <w:bCs/>
        <w:kern w:val="2"/>
        <w:sz w:val="18"/>
        <w:szCs w:val="18"/>
        <w:lang w:val="en-US" w:eastAsia="zh-CN" w:bidi="ar-SA"/>
      </w:rPr>
      <w:t>3</w:t>
    </w:r>
    <w:r>
      <w:rPr>
        <w:rFonts w:ascii="Times New Roman" w:hAnsi="Times New Roman" w:eastAsia="宋体" w:cs="Times New Roman"/>
        <w:b/>
        <w:bCs/>
        <w:kern w:val="2"/>
        <w:sz w:val="24"/>
        <w:szCs w:val="24"/>
        <w:lang w:val="en-US" w:eastAsia="zh-CN" w:bidi="ar-SA"/>
      </w:rPr>
      <w:fldChar w:fldCharType="end"/>
    </w:r>
    <w:r>
      <w:rPr>
        <w:rFonts w:ascii="Times New Roman" w:hAnsi="Times New Roman" w:eastAsia="宋体" w:cs="Times New Roman"/>
        <w:kern w:val="2"/>
        <w:sz w:val="18"/>
        <w:szCs w:val="18"/>
        <w:lang w:val="zh-CN" w:eastAsia="zh-CN" w:bidi="ar-SA"/>
      </w:rPr>
      <w:t xml:space="preserve"> / </w:t>
    </w:r>
    <w:r>
      <w:rPr>
        <w:rFonts w:ascii="Times New Roman" w:hAnsi="Times New Roman" w:eastAsia="宋体" w:cs="Times New Roman"/>
        <w:b/>
        <w:bCs/>
        <w:kern w:val="2"/>
        <w:sz w:val="24"/>
        <w:szCs w:val="24"/>
        <w:lang w:val="en-US" w:eastAsia="zh-CN" w:bidi="ar-SA"/>
      </w:rPr>
      <w:fldChar w:fldCharType="begin"/>
    </w:r>
    <w:r>
      <w:rPr>
        <w:rFonts w:ascii="Times New Roman" w:hAnsi="Times New Roman" w:eastAsia="宋体" w:cs="Times New Roman"/>
        <w:b/>
        <w:bCs/>
        <w:kern w:val="2"/>
        <w:sz w:val="18"/>
        <w:szCs w:val="18"/>
        <w:lang w:val="en-US" w:eastAsia="zh-CN" w:bidi="ar-SA"/>
      </w:rPr>
      <w:instrText xml:space="preserve">NUMPAGES</w:instrText>
    </w:r>
    <w:r>
      <w:rPr>
        <w:rFonts w:ascii="Times New Roman" w:hAnsi="Times New Roman" w:eastAsia="宋体" w:cs="Times New Roman"/>
        <w:b/>
        <w:bCs/>
        <w:kern w:val="2"/>
        <w:sz w:val="24"/>
        <w:szCs w:val="24"/>
        <w:lang w:val="en-US" w:eastAsia="zh-CN" w:bidi="ar-SA"/>
      </w:rPr>
      <w:fldChar w:fldCharType="separate"/>
    </w:r>
    <w:r>
      <w:rPr>
        <w:rFonts w:ascii="Times New Roman" w:hAnsi="Times New Roman" w:eastAsia="宋体" w:cs="Times New Roman"/>
        <w:b/>
        <w:bCs/>
        <w:kern w:val="2"/>
        <w:sz w:val="18"/>
        <w:szCs w:val="18"/>
        <w:lang w:val="en-US" w:eastAsia="zh-CN" w:bidi="ar-SA"/>
      </w:rPr>
      <w:t>14</w:t>
    </w:r>
    <w:r>
      <w:rPr>
        <w:rFonts w:ascii="Times New Roman" w:hAnsi="Times New Roman" w:eastAsia="宋体" w:cs="Times New Roman"/>
        <w:b/>
        <w:bCs/>
        <w:kern w:val="2"/>
        <w:sz w:val="24"/>
        <w:szCs w:val="24"/>
        <w:lang w:val="en-US" w:eastAsia="zh-CN" w:bidi="ar-SA"/>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EBA5D99"/>
    <w:rsid w:val="124B7E52"/>
    <w:rsid w:val="12516798"/>
    <w:rsid w:val="13A36145"/>
    <w:rsid w:val="14006FF9"/>
    <w:rsid w:val="1673393D"/>
    <w:rsid w:val="19B141B7"/>
    <w:rsid w:val="1AEF2BB7"/>
    <w:rsid w:val="29D100AA"/>
    <w:rsid w:val="2B7B2642"/>
    <w:rsid w:val="30D675AD"/>
    <w:rsid w:val="31C33762"/>
    <w:rsid w:val="34A80A94"/>
    <w:rsid w:val="397C1A69"/>
    <w:rsid w:val="3B7579C8"/>
    <w:rsid w:val="3E374C21"/>
    <w:rsid w:val="403F7575"/>
    <w:rsid w:val="412933DD"/>
    <w:rsid w:val="43424991"/>
    <w:rsid w:val="45834DF5"/>
    <w:rsid w:val="45E14C32"/>
    <w:rsid w:val="4A537A00"/>
    <w:rsid w:val="4D1D08AF"/>
    <w:rsid w:val="4D496E6B"/>
    <w:rsid w:val="50B709F1"/>
    <w:rsid w:val="5C1B2DDE"/>
    <w:rsid w:val="5D747763"/>
    <w:rsid w:val="604B6F0C"/>
    <w:rsid w:val="62406095"/>
    <w:rsid w:val="672A074E"/>
    <w:rsid w:val="68107747"/>
    <w:rsid w:val="68AD4C9B"/>
    <w:rsid w:val="6A0F69AC"/>
    <w:rsid w:val="6C7B37C0"/>
    <w:rsid w:val="6CC57002"/>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next w:val="4"/>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4">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Normal (Web)"/>
    <w:qFormat/>
    <w:uiPriority w:val="0"/>
    <w:pPr>
      <w:framePr w:wrap="around" w:vAnchor="margin" w:hAnchor="text" w:y="1"/>
      <w:spacing w:beforeAutospacing="1" w:afterAutospacing="1"/>
    </w:pPr>
    <w:rPr>
      <w:rFonts w:ascii="Times New Roman" w:hAnsi="Times New Roman" w:eastAsia="Arial Unicode MS" w:cs="Times New Roman"/>
      <w:sz w:val="24"/>
      <w:szCs w:val="24"/>
      <w:lang w:val="en-US" w:eastAsia="zh-CN" w:bidi="ar-SA"/>
    </w:rPr>
  </w:style>
  <w:style w:type="paragraph" w:styleId="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2">
    <w:name w:val="Strong"/>
    <w:qFormat/>
    <w:uiPriority w:val="0"/>
    <w:rPr>
      <w:b/>
      <w:bCs/>
    </w:rPr>
  </w:style>
  <w:style w:type="character" w:styleId="13">
    <w:name w:val="page number"/>
    <w:qFormat/>
    <w:uiPriority w:val="0"/>
  </w:style>
  <w:style w:type="paragraph" w:customStyle="1" w:styleId="14">
    <w:name w:val="BodyText1I2"/>
    <w:basedOn w:val="15"/>
    <w:next w:val="1"/>
    <w:autoRedefine/>
    <w:qFormat/>
    <w:uiPriority w:val="0"/>
    <w:pPr>
      <w:framePr w:wrap="around" w:vAnchor="margin" w:hAnchor="text" w:y="1"/>
      <w:widowControl/>
      <w:spacing w:line="357" w:lineRule="atLeast"/>
      <w:ind w:firstLine="525"/>
      <w:textAlignment w:val="baseline"/>
    </w:pPr>
    <w:rPr>
      <w:rFonts w:ascii="Times New Roman" w:hAnsi="Calibri" w:eastAsia="Times New Roman" w:cs="Times New Roman"/>
      <w:color w:val="000000"/>
      <w:sz w:val="28"/>
      <w:szCs w:val="22"/>
      <w:lang w:val="en-US" w:eastAsia="en-US" w:bidi="ar-SA"/>
    </w:rPr>
  </w:style>
  <w:style w:type="paragraph" w:customStyle="1" w:styleId="15">
    <w:name w:val="BodyTextIndent"/>
    <w:qFormat/>
    <w:uiPriority w:val="0"/>
    <w:pPr>
      <w:widowControl/>
      <w:spacing w:line="357" w:lineRule="atLeast"/>
      <w:ind w:firstLine="525"/>
      <w:jc w:val="both"/>
      <w:textAlignment w:val="baseline"/>
    </w:pPr>
    <w:rPr>
      <w:rFonts w:ascii="Times New Roman" w:hAnsi="Calibri" w:eastAsia="Times New Roman" w:cs="Times New Roman"/>
      <w:color w:val="000000"/>
      <w:kern w:val="2"/>
      <w:sz w:val="28"/>
      <w:szCs w:val="22"/>
      <w:lang w:val="en-US" w:eastAsia="zh-CN" w:bidi="ar-SA"/>
    </w:rPr>
  </w:style>
  <w:style w:type="character" w:customStyle="1" w:styleId="16">
    <w:name w:val="font121"/>
    <w:basedOn w:val="11"/>
    <w:qFormat/>
    <w:uiPriority w:val="0"/>
    <w:rPr>
      <w:rFonts w:hint="eastAsia" w:ascii="宋体" w:hAnsi="宋体" w:eastAsia="宋体" w:cs="宋体"/>
      <w:color w:val="000000"/>
      <w:sz w:val="28"/>
      <w:szCs w:val="28"/>
      <w:u w:val="none"/>
    </w:rPr>
  </w:style>
  <w:style w:type="character" w:customStyle="1" w:styleId="17">
    <w:name w:val="font31"/>
    <w:basedOn w:val="11"/>
    <w:qFormat/>
    <w:uiPriority w:val="0"/>
    <w:rPr>
      <w:rFonts w:hint="eastAsia" w:ascii="宋体" w:hAnsi="宋体" w:eastAsia="宋体" w:cs="宋体"/>
      <w:b/>
      <w:bCs/>
      <w:color w:val="000000"/>
      <w:sz w:val="48"/>
      <w:szCs w:val="48"/>
      <w:u w:val="none"/>
    </w:rPr>
  </w:style>
  <w:style w:type="character" w:customStyle="1" w:styleId="18">
    <w:name w:val="font112"/>
    <w:basedOn w:val="11"/>
    <w:qFormat/>
    <w:uiPriority w:val="0"/>
    <w:rPr>
      <w:rFonts w:hint="eastAsia" w:ascii="宋体" w:hAnsi="宋体" w:eastAsia="宋体" w:cs="宋体"/>
      <w:color w:val="000000"/>
      <w:sz w:val="28"/>
      <w:szCs w:val="28"/>
      <w:u w:val="none"/>
    </w:rPr>
  </w:style>
  <w:style w:type="character" w:customStyle="1" w:styleId="19">
    <w:name w:val="font101"/>
    <w:basedOn w:val="11"/>
    <w:qFormat/>
    <w:uiPriority w:val="0"/>
    <w:rPr>
      <w:rFonts w:hint="eastAsia" w:ascii="宋体" w:hAnsi="宋体" w:eastAsia="宋体" w:cs="宋体"/>
      <w:color w:val="000000"/>
      <w:sz w:val="28"/>
      <w:szCs w:val="28"/>
      <w:u w:val="none"/>
    </w:rPr>
  </w:style>
  <w:style w:type="character" w:customStyle="1" w:styleId="20">
    <w:name w:val="font21"/>
    <w:basedOn w:val="11"/>
    <w:qFormat/>
    <w:uiPriority w:val="0"/>
    <w:rPr>
      <w:rFonts w:hint="eastAsia" w:ascii="宋体" w:hAnsi="宋体" w:eastAsia="宋体" w:cs="宋体"/>
      <w:color w:val="000000"/>
      <w:sz w:val="24"/>
      <w:szCs w:val="24"/>
      <w:u w:val="none"/>
    </w:rPr>
  </w:style>
  <w:style w:type="character" w:customStyle="1" w:styleId="21">
    <w:name w:val="font91"/>
    <w:basedOn w:val="11"/>
    <w:qFormat/>
    <w:uiPriority w:val="0"/>
    <w:rPr>
      <w:rFonts w:hint="eastAsia" w:ascii="宋体" w:hAnsi="宋体" w:eastAsia="宋体" w:cs="宋体"/>
      <w:b/>
      <w:bCs/>
      <w:color w:val="000000"/>
      <w:sz w:val="40"/>
      <w:szCs w:val="40"/>
      <w:u w:val="none"/>
    </w:rPr>
  </w:style>
  <w:style w:type="character" w:customStyle="1" w:styleId="22">
    <w:name w:val="font51"/>
    <w:basedOn w:val="11"/>
    <w:qFormat/>
    <w:uiPriority w:val="0"/>
    <w:rPr>
      <w:rFonts w:hint="eastAsia" w:ascii="宋体" w:hAnsi="宋体" w:eastAsia="宋体" w:cs="宋体"/>
      <w:b/>
      <w:bCs/>
      <w:color w:val="000000"/>
      <w:sz w:val="20"/>
      <w:szCs w:val="20"/>
      <w:u w:val="none"/>
    </w:rPr>
  </w:style>
  <w:style w:type="character" w:customStyle="1" w:styleId="23">
    <w:name w:val="font81"/>
    <w:qFormat/>
    <w:uiPriority w:val="0"/>
    <w:rPr>
      <w:rFonts w:hint="eastAsia" w:ascii="宋体" w:hAnsi="宋体" w:eastAsia="宋体" w:cs="宋体"/>
      <w:color w:val="000000"/>
      <w:sz w:val="24"/>
      <w:szCs w:val="24"/>
      <w:u w:val="none"/>
    </w:rPr>
  </w:style>
  <w:style w:type="character" w:customStyle="1" w:styleId="24">
    <w:name w:val="font131"/>
    <w:basedOn w:val="11"/>
    <w:qFormat/>
    <w:uiPriority w:val="0"/>
    <w:rPr>
      <w:rFonts w:hint="eastAsia" w:ascii="仿宋" w:hAnsi="仿宋" w:eastAsia="仿宋" w:cs="仿宋"/>
      <w:color w:val="000000"/>
      <w:sz w:val="24"/>
      <w:szCs w:val="24"/>
      <w:u w:val="single"/>
    </w:rPr>
  </w:style>
  <w:style w:type="character" w:customStyle="1" w:styleId="25">
    <w:name w:val="font61"/>
    <w:basedOn w:val="11"/>
    <w:qFormat/>
    <w:uiPriority w:val="0"/>
    <w:rPr>
      <w:rFonts w:hint="eastAsia" w:ascii="仿宋" w:hAnsi="仿宋" w:eastAsia="仿宋" w:cs="仿宋"/>
      <w:color w:val="000000"/>
      <w:sz w:val="24"/>
      <w:szCs w:val="24"/>
      <w:u w:val="none"/>
    </w:rPr>
  </w:style>
  <w:style w:type="character" w:customStyle="1" w:styleId="26">
    <w:name w:val="font122"/>
    <w:basedOn w:val="11"/>
    <w:qFormat/>
    <w:uiPriority w:val="0"/>
    <w:rPr>
      <w:rFonts w:hint="eastAsia" w:ascii="仿宋" w:hAnsi="仿宋" w:eastAsia="仿宋" w:cs="仿宋"/>
      <w:color w:val="000000"/>
      <w:sz w:val="24"/>
      <w:szCs w:val="24"/>
      <w:u w:val="single"/>
    </w:rPr>
  </w:style>
  <w:style w:type="character" w:customStyle="1" w:styleId="27">
    <w:name w:val="font141"/>
    <w:basedOn w:val="11"/>
    <w:qFormat/>
    <w:uiPriority w:val="0"/>
    <w:rPr>
      <w:rFonts w:hint="eastAsia" w:ascii="仿宋" w:hAnsi="仿宋" w:eastAsia="仿宋" w:cs="仿宋"/>
      <w:color w:val="000000"/>
      <w:sz w:val="24"/>
      <w:szCs w:val="24"/>
      <w:u w:val="single"/>
    </w:rPr>
  </w:style>
  <w:style w:type="paragraph" w:customStyle="1" w:styleId="28">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lang w:val="en-US" w:eastAsia="zh-CN" w:bidi="ar-SA"/>
    </w:rPr>
  </w:style>
  <w:style w:type="character" w:customStyle="1" w:styleId="29">
    <w:name w:val="font41"/>
    <w:basedOn w:val="11"/>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1223</Words>
  <Characters>1398</Characters>
  <Lines>0</Lines>
  <Paragraphs>0</Paragraphs>
  <TotalTime>3</TotalTime>
  <ScaleCrop>false</ScaleCrop>
  <LinksUpToDate>false</LinksUpToDate>
  <CharactersWithSpaces>1430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2026-01-29T07:15:24Z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8B72876BCFA64E98AE970FD1B8891F97_13</vt:lpwstr>
  </property>
  <property fmtid="{D5CDD505-2E9C-101B-9397-08002B2CF9AE}" pid="4" name="KSOTemplateDocerSaveRecord">
    <vt:lpwstr>eyJoZGlkIjoiZTcwNDdlYTI1OTFhMDMyZjIzNDQ4NGFmYzk0ZjJkYmQiLCJ1c2VySWQiOiIxNjY4MjkxOTUwIn0=</vt:lpwstr>
  </property>
</Properties>
</file>