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56"/>
          <w:szCs w:val="56"/>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r>
        <w:rPr>
          <w:rFonts w:hint="eastAsia" w:ascii="宋体" w:hAnsi="宋体" w:eastAsia="宋体" w:cs="宋体"/>
          <w:b/>
          <w:color w:val="auto"/>
          <w:kern w:val="0"/>
          <w:sz w:val="44"/>
          <w:szCs w:val="44"/>
          <w:highlight w:val="none"/>
          <w:u w:val="none"/>
          <w:lang w:val="en-US" w:eastAsia="zh-CN"/>
        </w:rPr>
        <w:t>惠东县平海镇城镇污水管网及雨污分流建设工程一惠东县平海镇城镇雨污分流建设工程(二期)施工</w:t>
      </w:r>
    </w:p>
    <w:p w14:paraId="456DBC29">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r>
        <w:rPr>
          <w:rFonts w:hint="eastAsia" w:ascii="宋体" w:hAnsi="宋体" w:eastAsia="宋体" w:cs="宋体"/>
          <w:b/>
          <w:color w:val="auto"/>
          <w:kern w:val="0"/>
          <w:sz w:val="44"/>
          <w:szCs w:val="44"/>
          <w:highlight w:val="none"/>
          <w:u w:val="none"/>
          <w:lang w:val="en-US" w:eastAsia="zh-CN"/>
        </w:rPr>
        <w:t>（编号02号）工程机械租赁</w:t>
      </w:r>
    </w:p>
    <w:p w14:paraId="75F5232A">
      <w:pPr>
        <w:widowControl w:val="0"/>
        <w:wordWrap w:val="0"/>
        <w:spacing w:line="288" w:lineRule="auto"/>
        <w:jc w:val="center"/>
        <w:rPr>
          <w:rFonts w:hint="eastAsia" w:ascii="宋体" w:hAnsi="宋体" w:eastAsia="宋体" w:cs="宋体"/>
          <w:b/>
          <w:color w:val="auto"/>
          <w:kern w:val="0"/>
          <w:sz w:val="44"/>
          <w:szCs w:val="44"/>
          <w:highlight w:val="none"/>
          <w:u w:val="none"/>
          <w:lang w:eastAsia="zh-CN"/>
        </w:rPr>
      </w:pPr>
      <w:r>
        <w:rPr>
          <w:rFonts w:hint="eastAsia" w:ascii="宋体" w:hAnsi="宋体" w:eastAsia="宋体" w:cs="宋体"/>
          <w:b/>
          <w:color w:val="auto"/>
          <w:kern w:val="0"/>
          <w:sz w:val="44"/>
          <w:szCs w:val="44"/>
          <w:highlight w:val="none"/>
          <w:u w:val="none"/>
          <w:lang w:val="en-US" w:eastAsia="zh-CN"/>
        </w:rPr>
        <w:t>竞价</w:t>
      </w:r>
      <w:r>
        <w:rPr>
          <w:rFonts w:hint="eastAsia" w:ascii="宋体" w:hAnsi="宋体" w:eastAsia="宋体" w:cs="宋体"/>
          <w:b/>
          <w:color w:val="auto"/>
          <w:kern w:val="0"/>
          <w:sz w:val="44"/>
          <w:szCs w:val="44"/>
          <w:highlight w:val="none"/>
          <w:u w:val="none"/>
          <w:lang w:eastAsia="zh-CN"/>
        </w:rPr>
        <w:t>文件</w:t>
      </w:r>
    </w:p>
    <w:p w14:paraId="4B3D5EDE">
      <w:pPr>
        <w:widowControl w:val="0"/>
        <w:wordWrap w:val="0"/>
        <w:spacing w:line="288" w:lineRule="auto"/>
        <w:ind w:firstLine="720" w:firstLineChars="200"/>
        <w:jc w:val="both"/>
        <w:rPr>
          <w:rFonts w:hint="eastAsia" w:ascii="宋体" w:hAnsi="宋体" w:eastAsia="宋体" w:cs="宋体"/>
          <w:color w:val="auto"/>
          <w:kern w:val="0"/>
          <w:sz w:val="36"/>
          <w:szCs w:val="36"/>
          <w:highlight w:val="none"/>
          <w:lang w:eastAsia="zh-CN"/>
        </w:rPr>
      </w:pPr>
    </w:p>
    <w:p w14:paraId="4B751C6E">
      <w:pPr>
        <w:widowControl w:val="0"/>
        <w:wordWrap w:val="0"/>
        <w:spacing w:line="288" w:lineRule="auto"/>
        <w:ind w:firstLine="720" w:firstLineChars="200"/>
        <w:jc w:val="both"/>
        <w:rPr>
          <w:rFonts w:hint="eastAsia" w:ascii="宋体" w:hAnsi="宋体" w:eastAsia="宋体" w:cs="宋体"/>
          <w:color w:val="auto"/>
          <w:kern w:val="0"/>
          <w:sz w:val="36"/>
          <w:szCs w:val="36"/>
          <w:highlight w:val="none"/>
          <w:lang w:eastAsia="zh-CN"/>
        </w:rPr>
      </w:pPr>
    </w:p>
    <w:p w14:paraId="2F3F4CE3">
      <w:pPr>
        <w:spacing w:line="560" w:lineRule="exact"/>
        <w:ind w:firstLine="561"/>
        <w:rPr>
          <w:rFonts w:hint="eastAsia" w:ascii="宋体" w:hAnsi="宋体" w:eastAsia="宋体" w:cs="宋体"/>
          <w:color w:val="auto"/>
          <w:sz w:val="36"/>
          <w:szCs w:val="36"/>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6"/>
          <w:szCs w:val="36"/>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36"/>
          <w:szCs w:val="36"/>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6"/>
          <w:szCs w:val="36"/>
          <w:highlight w:val="none"/>
          <w:u w:color="000000"/>
          <w:lang w:val="en-US" w:eastAsia="zh-CN" w:bidi="ar-SA"/>
        </w:rPr>
      </w:pPr>
      <w:r>
        <w:rPr>
          <w:rFonts w:hint="eastAsia" w:ascii="宋体" w:hAnsi="宋体" w:eastAsia="宋体" w:cs="宋体"/>
          <w:b/>
          <w:color w:val="auto"/>
          <w:kern w:val="2"/>
          <w:sz w:val="36"/>
          <w:szCs w:val="36"/>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6"/>
          <w:szCs w:val="36"/>
          <w:highlight w:val="none"/>
          <w:u w:color="000000"/>
          <w:lang w:val="en-US" w:eastAsia="zh-CN" w:bidi="ar-SA"/>
        </w:rPr>
      </w:pPr>
      <w:r>
        <w:rPr>
          <w:rFonts w:hint="eastAsia" w:ascii="宋体" w:hAnsi="宋体" w:eastAsia="宋体" w:cs="宋体"/>
          <w:b/>
          <w:color w:val="auto"/>
          <w:kern w:val="2"/>
          <w:sz w:val="36"/>
          <w:szCs w:val="36"/>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color w:val="auto"/>
          <w:kern w:val="2"/>
          <w:sz w:val="36"/>
          <w:szCs w:val="36"/>
          <w:highlight w:val="none"/>
          <w:u w:color="000000"/>
          <w:lang w:val="en-US" w:eastAsia="zh-CN" w:bidi="ar-SA"/>
        </w:rPr>
        <w:t>2025年12月16日</w:t>
      </w:r>
    </w:p>
    <w:p w14:paraId="4F133677">
      <w:pPr>
        <w:wordWrap w:val="0"/>
        <w:rPr>
          <w:rFonts w:hint="eastAsia" w:ascii="宋体" w:hAnsi="宋体" w:eastAsia="宋体" w:cs="宋体"/>
          <w:b/>
          <w:bCs/>
          <w:color w:val="auto"/>
          <w:sz w:val="44"/>
          <w:szCs w:val="44"/>
          <w:highlight w:val="none"/>
          <w:lang w:val="zh-TW" w:eastAsia="zh-TW"/>
        </w:rPr>
        <w:sectPr>
          <w:footerReference r:id="rId5" w:type="first"/>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bookmarkStart w:id="21" w:name="_GoBack"/>
      <w:bookmarkEnd w:id="21"/>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18</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19</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26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2D21037">
      <w:pPr>
        <w:keepNext w:val="0"/>
        <w:keepLines w:val="0"/>
        <w:pageBreakBefore w:val="0"/>
        <w:widowControl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bookmarkStart w:id="1" w:name="_Toc16780"/>
      <w:bookmarkStart w:id="2" w:name="_Toc144974496"/>
      <w:bookmarkStart w:id="3" w:name="_Toc152045528"/>
      <w:bookmarkStart w:id="4" w:name="_Toc7164"/>
      <w:bookmarkStart w:id="5" w:name="_Toc229646710"/>
      <w:bookmarkStart w:id="6" w:name="_Toc16761"/>
      <w:bookmarkStart w:id="7" w:name="_Toc152042304"/>
      <w:bookmarkStart w:id="8" w:name="_Toc500491903"/>
      <w:bookmarkStart w:id="9" w:name="_Toc31806"/>
      <w:bookmarkStart w:id="10" w:name="_Toc392345907"/>
      <w:bookmarkStart w:id="11" w:name="_Toc21380"/>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）的委托，诚邀国内合格参选人就惠东县平海镇城镇污水管网及雨污分流建设工程一惠东县平海镇城镇雨污分流建设工程(二期)施工（编号02号）工程机械租赁</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1BC49E7B">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方式：</w:t>
      </w:r>
      <w:r>
        <w:rPr>
          <w:rFonts w:hint="eastAsia" w:ascii="宋体" w:hAnsi="宋体" w:eastAsia="宋体" w:cs="宋体"/>
          <w:color w:val="auto"/>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482B8CF2">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二、项目概况与</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6399B4DC">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rPr>
        <w:t>1、项目概况：</w:t>
      </w:r>
    </w:p>
    <w:p w14:paraId="4F225CF7">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惠东县平海镇城镇雨污分流建设工程(二期)新建 DN200～DN600 污水驳接管道约 76.44km,新建 DN300～DN1200 雨水管道约 9.01km,新建污水压力管道 DN160～DN300mm 长约1.36km；新建一体化污水提升泵井 50m³/d 一座、300m³/d 一座；现状合流管渠清淤约9.19km 及其配套检查井、路面破除及修复合计约 139883m²,道路沥青罩面(包括 S259、金袋街、包公巷等镇街主要道路）合计约 37904m²。</w:t>
      </w:r>
    </w:p>
    <w:p w14:paraId="0A5EC38C">
      <w:pPr>
        <w:pStyle w:val="8"/>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4140DF0C">
      <w:pPr>
        <w:pStyle w:val="8"/>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eastAsia="zh-CN"/>
        </w:rPr>
        <w:t>承包人现场施工所需的工程机械租赁</w:t>
      </w:r>
    </w:p>
    <w:p w14:paraId="537480CB">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eastAsia="en-US"/>
        </w:rPr>
        <w:t>三、</w:t>
      </w:r>
      <w:r>
        <w:rPr>
          <w:rFonts w:hint="eastAsia" w:ascii="宋体" w:hAnsi="宋体" w:eastAsia="宋体" w:cs="宋体"/>
          <w:b/>
          <w:i w:val="0"/>
          <w:iCs w:val="0"/>
          <w:caps w:val="0"/>
          <w:color w:val="auto"/>
          <w:spacing w:val="0"/>
          <w:sz w:val="28"/>
          <w:szCs w:val="28"/>
          <w:highlight w:val="none"/>
          <w:u w:val="none"/>
          <w:shd w:val="clear" w:fill="FFFFFF"/>
          <w:lang w:eastAsia="zh-CN"/>
        </w:rPr>
        <w:t>参选人</w:t>
      </w:r>
      <w:r>
        <w:rPr>
          <w:rFonts w:hint="eastAsia" w:ascii="宋体" w:hAnsi="宋体" w:eastAsia="宋体" w:cs="宋体"/>
          <w:b/>
          <w:i w:val="0"/>
          <w:iCs w:val="0"/>
          <w:caps w:val="0"/>
          <w:color w:val="auto"/>
          <w:spacing w:val="0"/>
          <w:sz w:val="28"/>
          <w:szCs w:val="28"/>
          <w:highlight w:val="none"/>
          <w:u w:val="none"/>
          <w:shd w:val="clear" w:fill="FFFFFF"/>
          <w:lang w:eastAsia="en-US"/>
        </w:rPr>
        <w:t>资格要求</w:t>
      </w:r>
    </w:p>
    <w:p w14:paraId="0516871B">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46FA678">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0B7FF86F">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46F802A1">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z w:val="28"/>
          <w:szCs w:val="28"/>
          <w:highlight w:val="none"/>
        </w:rPr>
        <w:t>的获取</w:t>
      </w:r>
    </w:p>
    <w:p w14:paraId="722287D0">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eastAsia="zh-CN"/>
        </w:rPr>
        <w:t>竞价文件</w:t>
      </w:r>
      <w:r>
        <w:rPr>
          <w:rFonts w:hint="eastAsia" w:ascii="宋体" w:hAnsi="宋体" w:eastAsia="宋体" w:cs="宋体"/>
          <w:color w:val="auto"/>
          <w:sz w:val="28"/>
          <w:szCs w:val="28"/>
          <w:highlight w:val="none"/>
        </w:rPr>
        <w:t>、补遗书（补充、澄清、修改文件）以网上下载方式发放。如需图纸请自行联系本项目联系人获取。</w:t>
      </w:r>
    </w:p>
    <w:p w14:paraId="418B91E3">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2、澄清、补充、修改等更正补充公告请自行登录</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进行下载，</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人不再另行通知。</w:t>
      </w:r>
    </w:p>
    <w:p w14:paraId="7E624360">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五、响应文件的递交</w:t>
      </w:r>
    </w:p>
    <w:p w14:paraId="3F683A41">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人不统一组织工程现场踏勘和响应预备会,响应人视需要自行前往现场踏勘。</w:t>
      </w:r>
    </w:p>
    <w:p w14:paraId="6B5EDCFD">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2、响应文</w:t>
      </w:r>
      <w:r>
        <w:rPr>
          <w:rFonts w:hint="eastAsia" w:ascii="宋体" w:hAnsi="宋体" w:eastAsia="宋体" w:cs="宋体"/>
          <w:color w:val="auto"/>
          <w:sz w:val="28"/>
          <w:szCs w:val="28"/>
          <w:highlight w:val="none"/>
          <w:u w:val="single" w:color="auto"/>
        </w:rPr>
        <w:t>件递交的截止时间</w:t>
      </w:r>
      <w:r>
        <w:rPr>
          <w:rFonts w:hint="eastAsia" w:ascii="宋体" w:hAnsi="宋体" w:eastAsia="宋体" w:cs="宋体"/>
          <w:color w:val="auto"/>
          <w:sz w:val="28"/>
          <w:szCs w:val="28"/>
          <w:highlight w:val="none"/>
          <w:u w:val="single" w:color="auto"/>
          <w:lang w:eastAsia="zh-CN"/>
        </w:rPr>
        <w:t>：2025年12月22日12:00。</w:t>
      </w:r>
    </w:p>
    <w:p w14:paraId="3A816B3A">
      <w:pPr>
        <w:framePr w:wrap="around" w:vAnchor="margin" w:hAnchor="page" w:x="1358" w:y="1"/>
        <w:widowControl/>
        <w:jc w:val="left"/>
        <w:rPr>
          <w:rFonts w:ascii="Times New Roman" w:hAnsi="Times New Roman" w:eastAsia="Arial Unicode MS" w:cs="Times New Roman"/>
          <w:kern w:val="0"/>
          <w:sz w:val="24"/>
          <w:lang w:eastAsia="en-US"/>
        </w:rPr>
      </w:pPr>
    </w:p>
    <w:p w14:paraId="3640B882">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3、响应文件递交方式：纸质响应文件采用现场递交或邮寄方式，递交（邮寄</w:t>
      </w:r>
      <w:r>
        <w:rPr>
          <w:rFonts w:hint="eastAsia" w:ascii="宋体" w:hAnsi="宋体" w:eastAsia="宋体" w:cs="宋体"/>
          <w:color w:val="auto"/>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z w:val="28"/>
          <w:szCs w:val="28"/>
          <w:highlight w:val="none"/>
        </w:rPr>
        <w:t>。</w:t>
      </w:r>
    </w:p>
    <w:p w14:paraId="040406FF">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4、逾期送达或未密封将予以拒收。</w:t>
      </w:r>
    </w:p>
    <w:p w14:paraId="56982B21">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六、发布公告的媒介</w:t>
      </w:r>
    </w:p>
    <w:p w14:paraId="5E8C7AFB">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上发布。</w:t>
      </w:r>
    </w:p>
    <w:p w14:paraId="5695D644">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2CDFB51F">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136086CB">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4B0BB101">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5DD369A6">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5D9C6655">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5FB510A6">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46C471E1">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惠州仲恺高新区陈江街道仲恺五路89号惠众公馆商业楼1栋8楼808、810号（集群注册）</w:t>
      </w:r>
    </w:p>
    <w:p w14:paraId="5D1E1227">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18927390540</w:t>
      </w:r>
    </w:p>
    <w:p w14:paraId="00A25926">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337B14FF">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250DC1">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6BD855C">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公告发布时间：2025年12月16日</w:t>
      </w:r>
    </w:p>
    <w:p w14:paraId="687C0335">
      <w:pPr>
        <w:widowControl/>
        <w:jc w:val="left"/>
        <w:rPr>
          <w:rFonts w:hint="eastAsia" w:ascii="宋体" w:hAnsi="宋体" w:eastAsia="宋体" w:cs="宋体"/>
          <w:b/>
          <w:bCs/>
          <w:color w:val="auto"/>
          <w:kern w:val="0"/>
          <w:sz w:val="32"/>
          <w:szCs w:val="32"/>
          <w:highlight w:val="none"/>
          <w:lang w:val="zh-TW" w:eastAsia="zh-TW"/>
        </w:rPr>
      </w:pPr>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10"/>
        <w:tblW w:w="48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29"/>
        <w:gridCol w:w="5942"/>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0"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9"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1"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0"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9"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0"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9"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惠东县平海镇城镇污水管网及雨污分流建设工程一惠东县平海镇城镇雨污分流建设工程(二期)施工（编号02号）工程机械租赁</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0"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9"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承包人现场施工所需的工程机械租赁</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0"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9"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12月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8"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19"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9" w:type="pct"/>
            <w:noWrap w:val="0"/>
            <w:vAlign w:val="center"/>
          </w:tcPr>
          <w:p w14:paraId="6E3A56F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4"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19"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9"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19"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9"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19"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9"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19"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9"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19"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9"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2025年12月22日12:00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19"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9"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19"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9"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19"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9"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19"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9"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19"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9"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19"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9"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19"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9"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19"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9"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19"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9"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19"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9"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19"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9"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19"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9"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19"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9"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19"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9"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19"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9"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19"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9"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19"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9"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惠东县平海镇城镇污水管网及雨污分流建设工程一惠东县平海镇城镇雨污分流建设工程(二期)施工（编号02号）工程机械租赁</w:t>
      </w:r>
    </w:p>
    <w:tbl>
      <w:tblPr>
        <w:tblStyle w:val="10"/>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1787F8CD">
      <w:pPr>
        <w:rPr>
          <w:rFonts w:hint="eastAsia" w:ascii="宋体" w:hAnsi="宋体" w:eastAsia="宋体" w:cs="宋体"/>
          <w:b/>
          <w:bCs/>
          <w:color w:val="auto"/>
          <w:sz w:val="32"/>
          <w:szCs w:val="32"/>
          <w:highlight w:val="none"/>
          <w:lang w:eastAsia="zh-CN"/>
        </w:rPr>
        <w:sectPr>
          <w:footerReference r:id="rId6"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58F89EA1">
      <w:pPr>
        <w:rPr>
          <w:rFonts w:hint="eastAsia" w:ascii="宋体" w:hAnsi="宋体" w:eastAsia="宋体" w:cs="宋体"/>
          <w:color w:val="auto"/>
          <w:sz w:val="20"/>
          <w:szCs w:val="20"/>
          <w:highlight w:val="none"/>
          <w:lang w:eastAsia="zh-CN"/>
        </w:rPr>
      </w:pPr>
    </w:p>
    <w:tbl>
      <w:tblPr>
        <w:tblW w:w="95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972"/>
        <w:gridCol w:w="1917"/>
        <w:gridCol w:w="1057"/>
        <w:gridCol w:w="974"/>
        <w:gridCol w:w="1462"/>
        <w:gridCol w:w="1388"/>
        <w:gridCol w:w="1750"/>
      </w:tblGrid>
      <w:tr w14:paraId="3C89C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2" w:hRule="atLeast"/>
          <w:jc w:val="center"/>
        </w:trPr>
        <w:tc>
          <w:tcPr>
            <w:tcW w:w="9520" w:type="dxa"/>
            <w:gridSpan w:val="7"/>
            <w:tcBorders>
              <w:top w:val="nil"/>
              <w:left w:val="nil"/>
              <w:bottom w:val="nil"/>
              <w:right w:val="nil"/>
            </w:tcBorders>
            <w:shd w:val="clear"/>
            <w:noWrap/>
            <w:vAlign w:val="center"/>
          </w:tcPr>
          <w:p w14:paraId="357DFD7A">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bdr w:val="none" w:color="auto" w:sz="0" w:space="0"/>
                <w:lang w:val="en-US" w:eastAsia="zh-CN" w:bidi="ar"/>
              </w:rPr>
              <w:t>工程机械租赁报价表</w:t>
            </w:r>
          </w:p>
        </w:tc>
      </w:tr>
      <w:tr w14:paraId="3F322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jc w:val="center"/>
        </w:trPr>
        <w:tc>
          <w:tcPr>
            <w:tcW w:w="9520" w:type="dxa"/>
            <w:gridSpan w:val="7"/>
            <w:tcBorders>
              <w:top w:val="nil"/>
              <w:left w:val="nil"/>
              <w:bottom w:val="nil"/>
              <w:right w:val="nil"/>
            </w:tcBorders>
            <w:shd w:val="clear"/>
            <w:noWrap/>
            <w:vAlign w:val="center"/>
          </w:tcPr>
          <w:p w14:paraId="79B00207">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项目名称：惠东县平海镇城镇污水管网及雨污分流建设工程一惠东县平海镇城镇雨污分流建设工程(二期)施工</w:t>
            </w:r>
          </w:p>
        </w:tc>
      </w:tr>
      <w:tr w14:paraId="02363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520" w:type="dxa"/>
            <w:gridSpan w:val="7"/>
            <w:tcBorders>
              <w:top w:val="nil"/>
              <w:left w:val="nil"/>
              <w:bottom w:val="nil"/>
              <w:right w:val="nil"/>
            </w:tcBorders>
            <w:shd w:val="clear"/>
            <w:noWrap/>
            <w:vAlign w:val="center"/>
          </w:tcPr>
          <w:p w14:paraId="2E3F2E5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报价单位：</w:t>
            </w:r>
          </w:p>
        </w:tc>
      </w:tr>
      <w:tr w14:paraId="707C6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3946" w:type="dxa"/>
            <w:gridSpan w:val="3"/>
            <w:tcBorders>
              <w:top w:val="nil"/>
              <w:left w:val="nil"/>
              <w:bottom w:val="nil"/>
              <w:right w:val="nil"/>
            </w:tcBorders>
            <w:shd w:val="clear"/>
            <w:vAlign w:val="center"/>
          </w:tcPr>
          <w:p w14:paraId="1B8D993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报价日期：  年  月   日</w:t>
            </w:r>
          </w:p>
        </w:tc>
        <w:tc>
          <w:tcPr>
            <w:tcW w:w="974" w:type="dxa"/>
            <w:tcBorders>
              <w:top w:val="nil"/>
              <w:left w:val="nil"/>
              <w:bottom w:val="nil"/>
              <w:right w:val="nil"/>
            </w:tcBorders>
            <w:shd w:val="clear"/>
            <w:vAlign w:val="center"/>
          </w:tcPr>
          <w:p w14:paraId="1EAAE18B">
            <w:pPr>
              <w:jc w:val="left"/>
              <w:rPr>
                <w:rFonts w:hint="eastAsia" w:ascii="宋体" w:hAnsi="宋体" w:eastAsia="宋体" w:cs="宋体"/>
                <w:i w:val="0"/>
                <w:iCs w:val="0"/>
                <w:color w:val="000000"/>
                <w:sz w:val="24"/>
                <w:szCs w:val="24"/>
                <w:u w:val="none"/>
              </w:rPr>
            </w:pPr>
          </w:p>
        </w:tc>
        <w:tc>
          <w:tcPr>
            <w:tcW w:w="1462" w:type="dxa"/>
            <w:tcBorders>
              <w:top w:val="nil"/>
              <w:left w:val="nil"/>
              <w:bottom w:val="nil"/>
              <w:right w:val="nil"/>
            </w:tcBorders>
            <w:shd w:val="clear"/>
            <w:vAlign w:val="center"/>
          </w:tcPr>
          <w:p w14:paraId="27F09638">
            <w:pPr>
              <w:jc w:val="center"/>
              <w:rPr>
                <w:rFonts w:hint="eastAsia" w:ascii="宋体" w:hAnsi="宋体" w:eastAsia="宋体" w:cs="宋体"/>
                <w:i w:val="0"/>
                <w:iCs w:val="0"/>
                <w:color w:val="000000"/>
                <w:sz w:val="24"/>
                <w:szCs w:val="24"/>
                <w:u w:val="none"/>
              </w:rPr>
            </w:pPr>
          </w:p>
        </w:tc>
        <w:tc>
          <w:tcPr>
            <w:tcW w:w="1388" w:type="dxa"/>
            <w:tcBorders>
              <w:top w:val="nil"/>
              <w:left w:val="nil"/>
              <w:bottom w:val="nil"/>
              <w:right w:val="nil"/>
            </w:tcBorders>
            <w:shd w:val="clear"/>
            <w:vAlign w:val="center"/>
          </w:tcPr>
          <w:p w14:paraId="087D1B37">
            <w:pPr>
              <w:jc w:val="center"/>
              <w:rPr>
                <w:rFonts w:hint="eastAsia" w:ascii="宋体" w:hAnsi="宋体" w:eastAsia="宋体" w:cs="宋体"/>
                <w:i w:val="0"/>
                <w:iCs w:val="0"/>
                <w:color w:val="000000"/>
                <w:sz w:val="24"/>
                <w:szCs w:val="24"/>
                <w:u w:val="none"/>
              </w:rPr>
            </w:pPr>
          </w:p>
        </w:tc>
        <w:tc>
          <w:tcPr>
            <w:tcW w:w="1750" w:type="dxa"/>
            <w:tcBorders>
              <w:top w:val="nil"/>
              <w:left w:val="nil"/>
              <w:bottom w:val="nil"/>
              <w:right w:val="nil"/>
            </w:tcBorders>
            <w:shd w:val="clear"/>
            <w:noWrap/>
            <w:vAlign w:val="center"/>
          </w:tcPr>
          <w:p w14:paraId="6FF88066">
            <w:pPr>
              <w:rPr>
                <w:rFonts w:hint="eastAsia" w:ascii="宋体" w:hAnsi="宋体" w:eastAsia="宋体" w:cs="宋体"/>
                <w:i w:val="0"/>
                <w:iCs w:val="0"/>
                <w:color w:val="000000"/>
                <w:sz w:val="24"/>
                <w:szCs w:val="24"/>
                <w:u w:val="none"/>
              </w:rPr>
            </w:pPr>
          </w:p>
        </w:tc>
      </w:tr>
      <w:tr w14:paraId="33247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jc w:val="center"/>
        </w:trPr>
        <w:tc>
          <w:tcPr>
            <w:tcW w:w="972" w:type="dxa"/>
            <w:vMerge w:val="restart"/>
            <w:tcBorders>
              <w:top w:val="single" w:color="000000" w:sz="4" w:space="0"/>
              <w:left w:val="single" w:color="000000" w:sz="4" w:space="0"/>
              <w:bottom w:val="single" w:color="000000" w:sz="4" w:space="0"/>
              <w:right w:val="single" w:color="000000" w:sz="4" w:space="0"/>
            </w:tcBorders>
            <w:shd w:val="clear"/>
            <w:vAlign w:val="center"/>
          </w:tcPr>
          <w:p w14:paraId="56DAE59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序号</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3366DC4F">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项目名称</w:t>
            </w:r>
          </w:p>
        </w:tc>
        <w:tc>
          <w:tcPr>
            <w:tcW w:w="1057" w:type="dxa"/>
            <w:vMerge w:val="restart"/>
            <w:tcBorders>
              <w:top w:val="single" w:color="000000" w:sz="4" w:space="0"/>
              <w:left w:val="single" w:color="000000" w:sz="4" w:space="0"/>
              <w:bottom w:val="single" w:color="000000" w:sz="4" w:space="0"/>
              <w:right w:val="single" w:color="000000" w:sz="4" w:space="0"/>
            </w:tcBorders>
            <w:shd w:val="clear"/>
            <w:vAlign w:val="center"/>
          </w:tcPr>
          <w:p w14:paraId="5882D6B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单位</w:t>
            </w:r>
          </w:p>
        </w:tc>
        <w:tc>
          <w:tcPr>
            <w:tcW w:w="974" w:type="dxa"/>
            <w:vMerge w:val="restart"/>
            <w:tcBorders>
              <w:top w:val="single" w:color="000000" w:sz="4" w:space="0"/>
              <w:left w:val="single" w:color="000000" w:sz="4" w:space="0"/>
              <w:bottom w:val="single" w:color="000000" w:sz="4" w:space="0"/>
              <w:right w:val="single" w:color="000000" w:sz="4" w:space="0"/>
            </w:tcBorders>
            <w:shd w:val="clear"/>
            <w:vAlign w:val="center"/>
          </w:tcPr>
          <w:p w14:paraId="432F0D5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数量</w:t>
            </w:r>
          </w:p>
        </w:tc>
        <w:tc>
          <w:tcPr>
            <w:tcW w:w="2850" w:type="dxa"/>
            <w:gridSpan w:val="2"/>
            <w:tcBorders>
              <w:top w:val="single" w:color="000000" w:sz="4" w:space="0"/>
              <w:left w:val="single" w:color="000000" w:sz="4" w:space="0"/>
              <w:bottom w:val="single" w:color="000000" w:sz="4" w:space="0"/>
              <w:right w:val="single" w:color="000000" w:sz="4" w:space="0"/>
            </w:tcBorders>
            <w:shd w:val="clear"/>
            <w:vAlign w:val="center"/>
          </w:tcPr>
          <w:p w14:paraId="578A579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分包合同清单（不含税）</w:t>
            </w: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3D9FCAF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工作内容</w:t>
            </w:r>
          </w:p>
        </w:tc>
      </w:tr>
      <w:tr w14:paraId="7D82C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29CB779">
            <w:pPr>
              <w:jc w:val="center"/>
              <w:rPr>
                <w:rFonts w:hint="eastAsia" w:ascii="宋体" w:hAnsi="宋体" w:eastAsia="宋体" w:cs="宋体"/>
                <w:b/>
                <w:bCs/>
                <w:i w:val="0"/>
                <w:iCs w:val="0"/>
                <w:color w:val="000000"/>
                <w:sz w:val="24"/>
                <w:szCs w:val="24"/>
                <w:u w:val="none"/>
              </w:rPr>
            </w:pP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2DF181A">
            <w:pPr>
              <w:rPr>
                <w:rFonts w:hint="eastAsia" w:ascii="宋体" w:hAnsi="宋体" w:eastAsia="宋体" w:cs="宋体"/>
                <w:b/>
                <w:bCs/>
                <w:i w:val="0"/>
                <w:iCs w:val="0"/>
                <w:color w:val="000000"/>
                <w:sz w:val="24"/>
                <w:szCs w:val="24"/>
                <w:u w:val="none"/>
              </w:rPr>
            </w:pPr>
          </w:p>
        </w:tc>
        <w:tc>
          <w:tcPr>
            <w:tcW w:w="105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337854E">
            <w:pPr>
              <w:jc w:val="center"/>
              <w:rPr>
                <w:rFonts w:hint="eastAsia" w:ascii="宋体" w:hAnsi="宋体" w:eastAsia="宋体" w:cs="宋体"/>
                <w:b/>
                <w:bCs/>
                <w:i w:val="0"/>
                <w:iCs w:val="0"/>
                <w:color w:val="000000"/>
                <w:sz w:val="24"/>
                <w:szCs w:val="24"/>
                <w:u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026FFFF">
            <w:pPr>
              <w:jc w:val="center"/>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nil"/>
              <w:right w:val="single" w:color="000000" w:sz="4" w:space="0"/>
            </w:tcBorders>
            <w:shd w:val="clear"/>
            <w:vAlign w:val="center"/>
          </w:tcPr>
          <w:p w14:paraId="1065372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单价</w:t>
            </w:r>
          </w:p>
        </w:tc>
        <w:tc>
          <w:tcPr>
            <w:tcW w:w="1388" w:type="dxa"/>
            <w:tcBorders>
              <w:top w:val="single" w:color="000000" w:sz="4" w:space="0"/>
              <w:left w:val="single" w:color="000000" w:sz="4" w:space="0"/>
              <w:bottom w:val="nil"/>
              <w:right w:val="single" w:color="000000" w:sz="4" w:space="0"/>
            </w:tcBorders>
            <w:shd w:val="clear"/>
            <w:vAlign w:val="center"/>
          </w:tcPr>
          <w:p w14:paraId="61DED3D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合计</w:t>
            </w:r>
          </w:p>
        </w:tc>
        <w:tc>
          <w:tcPr>
            <w:tcW w:w="1750" w:type="dxa"/>
            <w:tcBorders>
              <w:top w:val="single" w:color="000000" w:sz="4" w:space="0"/>
              <w:left w:val="single" w:color="000000" w:sz="4" w:space="0"/>
              <w:bottom w:val="nil"/>
              <w:right w:val="single" w:color="000000" w:sz="4" w:space="0"/>
            </w:tcBorders>
            <w:shd w:val="clear"/>
            <w:vAlign w:val="center"/>
          </w:tcPr>
          <w:p w14:paraId="5ADB2985">
            <w:pPr>
              <w:jc w:val="center"/>
              <w:rPr>
                <w:rFonts w:hint="eastAsia" w:ascii="宋体" w:hAnsi="宋体" w:eastAsia="宋体" w:cs="宋体"/>
                <w:b/>
                <w:bCs/>
                <w:i w:val="0"/>
                <w:iCs w:val="0"/>
                <w:color w:val="000000"/>
                <w:sz w:val="24"/>
                <w:szCs w:val="24"/>
                <w:u w:val="none"/>
              </w:rPr>
            </w:pPr>
          </w:p>
        </w:tc>
      </w:tr>
      <w:tr w14:paraId="14D51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6ADEAE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C248ED">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S259道路交通工程</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7ACADC">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00FE3">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057276">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57D39B">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80C44">
            <w:pPr>
              <w:jc w:val="both"/>
              <w:rPr>
                <w:rFonts w:hint="eastAsia" w:ascii="宋体" w:hAnsi="宋体" w:eastAsia="宋体" w:cs="宋体"/>
                <w:b/>
                <w:bCs/>
                <w:i w:val="0"/>
                <w:iCs w:val="0"/>
                <w:color w:val="000000"/>
                <w:sz w:val="24"/>
                <w:szCs w:val="24"/>
                <w:u w:val="none"/>
              </w:rPr>
            </w:pPr>
          </w:p>
        </w:tc>
      </w:tr>
      <w:tr w14:paraId="42858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78EC21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A1BE81">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道路工程</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A438E1">
            <w:pPr>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A5B1D3">
            <w:pPr>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C2F213">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9ACBBC">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EEF976">
            <w:pPr>
              <w:jc w:val="both"/>
              <w:rPr>
                <w:rFonts w:hint="eastAsia" w:ascii="宋体" w:hAnsi="宋体" w:eastAsia="宋体" w:cs="宋体"/>
                <w:b/>
                <w:bCs/>
                <w:i w:val="0"/>
                <w:iCs w:val="0"/>
                <w:color w:val="000000"/>
                <w:sz w:val="24"/>
                <w:szCs w:val="24"/>
                <w:u w:val="none"/>
              </w:rPr>
            </w:pPr>
          </w:p>
        </w:tc>
      </w:tr>
      <w:tr w14:paraId="18733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06EA06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41A46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7cm厚细粒式SBS改性沥青砼AC-13C</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689866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m2</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9B15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29511</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785011">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A5D9F2">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29ED27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0C2FB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695B26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83303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PC-3乳化沥青粘结层（0.6L/m2）</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4A42C4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m2</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EA69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29511</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CF694F">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AA071B">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74B294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3B5FC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1EFA51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37E3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2cm高粘高弹改性沥青应力吸收层</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4FB6BB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m2</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EC06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29511</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BB9FBC">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E1C918">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6F6A62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02D38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4DCCC0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D61AD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铣刨现状沥青路面</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7A7794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m2</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BEB5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26838</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7630A5">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DD13B9">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261B8D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20137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1B4537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4282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铣刨现状水泥砼路面</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18178A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m2</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A935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2608</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6D921">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ECCEAC">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48CBFA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38BCA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68063C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71E5B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拆除混凝土路面及基层</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25F800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m2</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B21B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941</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4FB00F">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41A792">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3DFF28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17B44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4BFDDE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B7BDBE">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菜园村片区</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1716DB">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D76B28">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C05293">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D655B7">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22A34A">
            <w:pPr>
              <w:jc w:val="both"/>
              <w:rPr>
                <w:rFonts w:hint="eastAsia" w:ascii="宋体" w:hAnsi="宋体" w:eastAsia="宋体" w:cs="宋体"/>
                <w:b/>
                <w:bCs/>
                <w:i w:val="0"/>
                <w:iCs w:val="0"/>
                <w:color w:val="000000"/>
                <w:sz w:val="24"/>
                <w:szCs w:val="24"/>
                <w:u w:val="none"/>
              </w:rPr>
            </w:pPr>
          </w:p>
        </w:tc>
      </w:tr>
      <w:tr w14:paraId="2E1EF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7C0480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D57E84">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土方工程</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05A06E">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7D841">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135402">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E518A0">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C71D4F">
            <w:pPr>
              <w:jc w:val="both"/>
              <w:rPr>
                <w:rFonts w:hint="eastAsia" w:ascii="宋体" w:hAnsi="宋体" w:eastAsia="宋体" w:cs="宋体"/>
                <w:b/>
                <w:bCs/>
                <w:i w:val="0"/>
                <w:iCs w:val="0"/>
                <w:color w:val="000000"/>
                <w:sz w:val="24"/>
                <w:szCs w:val="24"/>
                <w:u w:val="none"/>
              </w:rPr>
            </w:pPr>
          </w:p>
        </w:tc>
      </w:tr>
      <w:tr w14:paraId="203A9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5E7BCD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F0D5F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挖沟槽土方(2米内）</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7AE992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m3</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949E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8635</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573D75">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9A5A03">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14FFAB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640B1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2CE0AB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6E70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挖沟槽土方(4米内）</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280866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m3</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7292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13300</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788975">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241892">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0BF8C2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60283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484ABC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F5437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挖沟槽土方（6米内）</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18F71F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m3</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3C46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3657</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993A8">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EDF59D">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009CA4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75519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380F28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6376B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换填块石</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752C6B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m3</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3B80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2642</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47F23A">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CDDA97">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158CB4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12173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2A5350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6783D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余方弃置</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57F8E8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m3</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1ECC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17886</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AB1E71">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77B103">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129CB4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1F2C6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7FF521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0E246B">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排水工程</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AB168F">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7CCA93">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34EA7F">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CB35B6">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72D7D8">
            <w:pPr>
              <w:jc w:val="both"/>
              <w:rPr>
                <w:rFonts w:hint="eastAsia" w:ascii="宋体" w:hAnsi="宋体" w:eastAsia="宋体" w:cs="宋体"/>
                <w:b/>
                <w:bCs/>
                <w:i w:val="0"/>
                <w:iCs w:val="0"/>
                <w:color w:val="000000"/>
                <w:sz w:val="24"/>
                <w:szCs w:val="24"/>
                <w:u w:val="none"/>
              </w:rPr>
            </w:pPr>
          </w:p>
        </w:tc>
      </w:tr>
      <w:tr w14:paraId="7414E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0F3552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97CB38">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污水工程</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A1095F">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540CDE">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BB6106">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73554E">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B13F3D">
            <w:pPr>
              <w:jc w:val="both"/>
              <w:rPr>
                <w:rFonts w:hint="eastAsia" w:ascii="宋体" w:hAnsi="宋体" w:eastAsia="宋体" w:cs="宋体"/>
                <w:b/>
                <w:bCs/>
                <w:i w:val="0"/>
                <w:iCs w:val="0"/>
                <w:color w:val="000000"/>
                <w:sz w:val="24"/>
                <w:szCs w:val="24"/>
                <w:u w:val="none"/>
              </w:rPr>
            </w:pPr>
          </w:p>
        </w:tc>
      </w:tr>
      <w:tr w14:paraId="0C0B4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630F55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AB09F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聚乙烯PE100管|DN315（牵引施工，公称压力≥1.25Mpa）</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52F98D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FAE0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47</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A61097">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37542">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5E15C4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10E92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36EB52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E909B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聚乙烯PE100管|DN400（牵引施工，公称压力≥1.25Mpa）</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5DA4E5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917F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102</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77368D">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A5DFA2">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74339A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4BA9E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16E594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50903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Φ1000圆形混凝土污水检查井（平均井深2.14m）</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35D2E4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座</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776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106</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628C2">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B045B">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041B35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657B4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3028A7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64DBA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Φ1000圆形混凝土污水沉泥井（平均井深3.79m）</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1144D2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座</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B7EC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CE014">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029686">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6B7002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32F82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50FEDD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C8115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Φ1250圆形混凝土污水检查井（平均井深0.931m）</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08B1D6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座</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8BB0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51F6A8">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E9BC06">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71E635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69885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4919B2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23</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486D6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Φ1500圆形混凝土污水检查井（平均井深1.814m）</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6ED0AA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座</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E42E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57D19D">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0BE50C">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222CBF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61BA4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466025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24</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A7777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牵引管沉井Φ1500（井均深3.023m）</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68B00A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座</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2BF9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08F031">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DDC86D">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4D4363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16204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7972C2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87AB95">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泥浆池</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DFECA3">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C3D529">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0B916B">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B2291D">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C935E6">
            <w:pPr>
              <w:jc w:val="both"/>
              <w:rPr>
                <w:rFonts w:hint="eastAsia" w:ascii="宋体" w:hAnsi="宋体" w:eastAsia="宋体" w:cs="宋体"/>
                <w:b/>
                <w:bCs/>
                <w:i w:val="0"/>
                <w:iCs w:val="0"/>
                <w:color w:val="000000"/>
                <w:sz w:val="24"/>
                <w:szCs w:val="24"/>
                <w:u w:val="none"/>
              </w:rPr>
            </w:pPr>
          </w:p>
        </w:tc>
      </w:tr>
      <w:tr w14:paraId="14161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1881A9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26</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8DA5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挖基坑土方</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1991B3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m3</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49A7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98</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AF36A">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5C0BFB">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105297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2FD7C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2749F5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27</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7418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余方弃置</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01DD8D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m3</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697A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28</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B65B32">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D51277">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4EBF1D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05CB7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03F086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28</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3B5AD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拆除泥浆池</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4FDC75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座</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86FD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6A1074">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72F8FD">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235F85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0686A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566FCE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29</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69442">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雨水工程</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B42EA1">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EF9965">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33DCC2">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EEF8D">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800B76">
            <w:pPr>
              <w:jc w:val="both"/>
              <w:rPr>
                <w:rFonts w:hint="eastAsia" w:ascii="宋体" w:hAnsi="宋体" w:eastAsia="宋体" w:cs="宋体"/>
                <w:b/>
                <w:bCs/>
                <w:i w:val="0"/>
                <w:iCs w:val="0"/>
                <w:color w:val="000000"/>
                <w:sz w:val="24"/>
                <w:szCs w:val="24"/>
                <w:u w:val="none"/>
              </w:rPr>
            </w:pPr>
          </w:p>
        </w:tc>
      </w:tr>
      <w:tr w14:paraId="69A99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61E4B7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544B6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II级钢筋混凝土管DN600</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515CA3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F21F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366</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C84216">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D259BD">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553772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7F0BB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745216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31</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54FB6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II级钢筋混凝土管DN800</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022BCE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7AA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296</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3B59EB">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458886">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526AF0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34D88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0BBB23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32</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C95BC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II级钢筋混凝土管DN1000</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17DB89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1E54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116</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F77400">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54DDA7">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6415A6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4D17D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012690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33</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B018A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II级钢筋混凝土管DN1200</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3D245E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0CE5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793</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840B9F">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28831D">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561037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7A2B5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279F5F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34</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83EFF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II级钢筋混凝土管DN1200 顶管井内敷设</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335B51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6E52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FD8A73">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AD9F4A">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1C5895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09CE1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07814F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35</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703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III级钢筋混凝土 顶管DN1200</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1A3048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B2ED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76</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B4263B">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87A5E9">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7CB282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09BD6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47B4E0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36</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27922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1400*1100mm矩形混凝土雨水检查井（平均井深</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2.51m）</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4820F5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座</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3397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79050F">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850022">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0F0A7D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3EE2F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2C26BF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37</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A4551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1700*1100mm矩形混凝土雨水检查井（平均井深2.29m）</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566730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座</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813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339DBB">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FCBE2">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5B5DBB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0D17D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345BDD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38</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5EDDE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2400*2000mm矩形混凝土雨水检查井（平均井深4.05m）</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2DE5E1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座</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9B10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CBD7C4">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A25AE1">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46A0BA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6C546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7607BB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39</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4470E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1900*1100mm矩形混凝土雨水检查井（平均井深4.07m）</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65660C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座</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ED0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2A8545">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B534B0">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33AEB2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49DDF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2BDC57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6443D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2400*2400mm矩形混凝土雨水检查井（平均井深4.29m）</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01EEC1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座</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2466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D36C7">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1B1FD7">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2D90B8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195AA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50B51E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41</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4C1DE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Φ1000圆形混凝土雨水检查井（平均井深1.48m）</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6C7C28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座</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F9F4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38</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9F27A0">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67519A">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66A932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1857B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62DE93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42</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5C090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Φ1250圆形混凝土雨水检查井（平均井深1.95m）</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76E135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座</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B7D4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3D1F53">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D0399">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57BA68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13699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3BF0AD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43</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056BEE">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顶管沉井工程</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F5235A">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AEB8F7">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309E50">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7AA6A3">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B95975">
            <w:pPr>
              <w:jc w:val="both"/>
              <w:rPr>
                <w:rFonts w:hint="eastAsia" w:ascii="宋体" w:hAnsi="宋体" w:eastAsia="宋体" w:cs="宋体"/>
                <w:b/>
                <w:bCs/>
                <w:i w:val="0"/>
                <w:iCs w:val="0"/>
                <w:color w:val="000000"/>
                <w:sz w:val="24"/>
                <w:szCs w:val="24"/>
                <w:u w:val="none"/>
              </w:rPr>
            </w:pPr>
          </w:p>
        </w:tc>
      </w:tr>
      <w:tr w14:paraId="1F8E5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260B81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44</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623C9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Φ7000圆形混凝土顶管工作井（平均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井深4.22m）</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7DDE3F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座</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E84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2EB61D">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55406B">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29D704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32998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4EC121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45</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37AFC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Φ5000圆形混凝土顶管接收井（平均井深4.92m）</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798AA7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座</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8D8F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6283DE">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112EBD">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358715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2458C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017E9F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46</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29272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沉井下沉</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7482A4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m3</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740A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392</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1CCE89">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574134">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189234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23416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000657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47</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86B03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余方弃置</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374CF2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m3</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6C23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392</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E07B1E">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34E9EB">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25171D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72D01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62CB4B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48</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CA299">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支护工程</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BF4824">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B67360">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1768C4">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6CBEBB">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0C304D">
            <w:pPr>
              <w:jc w:val="both"/>
              <w:rPr>
                <w:rFonts w:hint="eastAsia" w:ascii="宋体" w:hAnsi="宋体" w:eastAsia="宋体" w:cs="宋体"/>
                <w:b/>
                <w:bCs/>
                <w:i w:val="0"/>
                <w:iCs w:val="0"/>
                <w:color w:val="000000"/>
                <w:sz w:val="24"/>
                <w:szCs w:val="24"/>
                <w:u w:val="none"/>
              </w:rPr>
            </w:pPr>
          </w:p>
        </w:tc>
      </w:tr>
      <w:tr w14:paraId="00D9A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604DD9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49</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A98D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4m25b槽钢支护</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44CCC5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t</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426E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1825</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02D3FF">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FD3F60">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7E2E98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2388D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4AC55A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D3F62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6m拉森Ⅲ型钢板桩支护桩</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0C7506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t</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9931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1979</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E0958C">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077822">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7E415C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19DA4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00B175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51</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E628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9m拉森Ⅳ型钢板桩支护桩</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5CBA6C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t</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DD52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2015</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ECA234">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5852A6">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2C8475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2C7B5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583C95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52</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D327B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D600高压旋喷桩</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1D8554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8DBC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964</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3F531F">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E9554B">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488D21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3EFFE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4FC2C2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53</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386141">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污水接户管</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17EFD">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FE274C">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1AF1EF">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5208A1">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4C4515">
            <w:pPr>
              <w:jc w:val="both"/>
              <w:rPr>
                <w:rFonts w:hint="eastAsia" w:ascii="宋体" w:hAnsi="宋体" w:eastAsia="宋体" w:cs="宋体"/>
                <w:b/>
                <w:bCs/>
                <w:i w:val="0"/>
                <w:iCs w:val="0"/>
                <w:color w:val="000000"/>
                <w:sz w:val="24"/>
                <w:szCs w:val="24"/>
                <w:u w:val="none"/>
              </w:rPr>
            </w:pPr>
          </w:p>
        </w:tc>
      </w:tr>
      <w:tr w14:paraId="2CE8D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7DB502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54</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9C765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UPVC接户排水管|dn200</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00FCD5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15C4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2552</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FA763">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838132">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528B76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5E285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568FA6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55</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AA937C">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破除工程</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8F7A97">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F89E9B">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E90880">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A95529">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32E6DC">
            <w:pPr>
              <w:jc w:val="both"/>
              <w:rPr>
                <w:rFonts w:hint="eastAsia" w:ascii="宋体" w:hAnsi="宋体" w:eastAsia="宋体" w:cs="宋体"/>
                <w:b/>
                <w:bCs/>
                <w:i w:val="0"/>
                <w:iCs w:val="0"/>
                <w:color w:val="000000"/>
                <w:sz w:val="24"/>
                <w:szCs w:val="24"/>
                <w:u w:val="none"/>
              </w:rPr>
            </w:pPr>
          </w:p>
        </w:tc>
      </w:tr>
      <w:tr w14:paraId="3D3D7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0B1E6D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56</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9D179">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结构层2</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35FED">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271A80">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9673C8">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0ED0B2">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0B8181">
            <w:pPr>
              <w:jc w:val="both"/>
              <w:rPr>
                <w:rFonts w:hint="eastAsia" w:ascii="宋体" w:hAnsi="宋体" w:eastAsia="宋体" w:cs="宋体"/>
                <w:b/>
                <w:bCs/>
                <w:i w:val="0"/>
                <w:iCs w:val="0"/>
                <w:color w:val="000000"/>
                <w:sz w:val="24"/>
                <w:szCs w:val="24"/>
                <w:u w:val="none"/>
              </w:rPr>
            </w:pPr>
          </w:p>
        </w:tc>
      </w:tr>
      <w:tr w14:paraId="4DD1F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76FFAE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57</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77895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破除18cm厚混凝土</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5398AB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m2</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B918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3851</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EE8EC8">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C72E7F">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53FCE6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0F627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0468CA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58</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C5C58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破除C20贫砼基层</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3F228B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m2</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1BBD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3851</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D98A90">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A8EEFC">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74121D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05B1A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1DEE58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DDC05A">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结构层3</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2DA42F">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5012B7">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FCB769">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1D8FF1">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7AA320">
            <w:pPr>
              <w:jc w:val="both"/>
              <w:rPr>
                <w:rFonts w:hint="eastAsia" w:ascii="宋体" w:hAnsi="宋体" w:eastAsia="宋体" w:cs="宋体"/>
                <w:b/>
                <w:bCs/>
                <w:i w:val="0"/>
                <w:iCs w:val="0"/>
                <w:color w:val="000000"/>
                <w:sz w:val="24"/>
                <w:szCs w:val="24"/>
                <w:u w:val="none"/>
              </w:rPr>
            </w:pPr>
          </w:p>
        </w:tc>
      </w:tr>
      <w:tr w14:paraId="02B9A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03C12B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60</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6193B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破除20cm厚混凝土（利用于换填块</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石）</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6E2761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m2</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C822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2806</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D32204">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5679F4">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036AFE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0410C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46188D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61</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0C083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破除C20贫砼基层</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0BEEC3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m2</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241B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2806</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633ACF">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D40D63">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163CD2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6948E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214862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DA4F10">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结构层6</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FDE700">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17EC48">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1F14F3">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205F9E">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EC8B7C">
            <w:pPr>
              <w:jc w:val="both"/>
              <w:rPr>
                <w:rFonts w:hint="eastAsia" w:ascii="宋体" w:hAnsi="宋体" w:eastAsia="宋体" w:cs="宋体"/>
                <w:b/>
                <w:bCs/>
                <w:i w:val="0"/>
                <w:iCs w:val="0"/>
                <w:color w:val="000000"/>
                <w:sz w:val="24"/>
                <w:szCs w:val="24"/>
                <w:u w:val="none"/>
              </w:rPr>
            </w:pPr>
          </w:p>
        </w:tc>
      </w:tr>
      <w:tr w14:paraId="3D8D4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0AB3C3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63</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C522F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破除30cm厚混凝土（用于换填块石基础）</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646212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m2</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C5F8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3525</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1C1D09">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60DBD0">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03E10A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1E541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465225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64</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D347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破除C20贫砼基层（用于换填块石基础）</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35D18C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m2</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8889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2309</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8C888">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16C9E6">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5D145D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4C79A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0BC073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65</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9B446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破除20cm厚混凝土（外弃）</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38A1E4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m2</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3E85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1216</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D276AC">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28C566">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508A2C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62738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43485A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66</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F14BD7">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破除挡墙</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ACE8D8">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EDFD41">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AA901C">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6E27B2">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00C423">
            <w:pPr>
              <w:jc w:val="both"/>
              <w:rPr>
                <w:rFonts w:hint="eastAsia" w:ascii="宋体" w:hAnsi="宋体" w:eastAsia="宋体" w:cs="宋体"/>
                <w:b/>
                <w:bCs/>
                <w:i w:val="0"/>
                <w:iCs w:val="0"/>
                <w:color w:val="000000"/>
                <w:sz w:val="24"/>
                <w:szCs w:val="24"/>
                <w:u w:val="none"/>
              </w:rPr>
            </w:pPr>
          </w:p>
        </w:tc>
      </w:tr>
      <w:tr w14:paraId="585B9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25F360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67</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A0921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拆除砖石结构</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2F9B0C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m3</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01C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B8ED74">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A9E91F">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521F45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163FB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456090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68</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F86B77">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恢复工程</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D22AF9">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BD63FD">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425CFE">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4AD9FD">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324091">
            <w:pPr>
              <w:jc w:val="both"/>
              <w:rPr>
                <w:rFonts w:hint="eastAsia" w:ascii="宋体" w:hAnsi="宋体" w:eastAsia="宋体" w:cs="宋体"/>
                <w:b/>
                <w:bCs/>
                <w:i w:val="0"/>
                <w:iCs w:val="0"/>
                <w:color w:val="000000"/>
                <w:sz w:val="24"/>
                <w:szCs w:val="24"/>
                <w:u w:val="none"/>
              </w:rPr>
            </w:pPr>
          </w:p>
        </w:tc>
      </w:tr>
      <w:tr w14:paraId="2A16E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281DA6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69</w:t>
            </w:r>
          </w:p>
        </w:tc>
        <w:tc>
          <w:tcPr>
            <w:tcW w:w="191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71F731">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恢复挡墙</w:t>
            </w:r>
          </w:p>
        </w:tc>
        <w:tc>
          <w:tcPr>
            <w:tcW w:w="10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9B032F">
            <w:pPr>
              <w:jc w:val="both"/>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1CA2EC">
            <w:pPr>
              <w:jc w:val="right"/>
              <w:rPr>
                <w:rFonts w:hint="eastAsia" w:ascii="宋体" w:hAnsi="宋体" w:eastAsia="宋体" w:cs="宋体"/>
                <w:b/>
                <w:bCs/>
                <w:i w:val="0"/>
                <w:iCs w:val="0"/>
                <w:color w:val="000000"/>
                <w:sz w:val="24"/>
                <w:szCs w:val="24"/>
                <w:u w:val="none"/>
              </w:rPr>
            </w:pPr>
          </w:p>
        </w:tc>
        <w:tc>
          <w:tcPr>
            <w:tcW w:w="14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BE45EC">
            <w:pPr>
              <w:jc w:val="center"/>
              <w:rPr>
                <w:rFonts w:hint="eastAsia" w:ascii="宋体" w:hAnsi="宋体" w:eastAsia="宋体" w:cs="宋体"/>
                <w:b/>
                <w:bCs/>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5CDD95">
            <w:pPr>
              <w:jc w:val="center"/>
              <w:rPr>
                <w:rFonts w:hint="eastAsia" w:ascii="宋体" w:hAnsi="宋体" w:eastAsia="宋体" w:cs="宋体"/>
                <w:b/>
                <w:bCs/>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DE73F7">
            <w:pPr>
              <w:jc w:val="both"/>
              <w:rPr>
                <w:rFonts w:hint="eastAsia" w:ascii="宋体" w:hAnsi="宋体" w:eastAsia="宋体" w:cs="宋体"/>
                <w:b/>
                <w:bCs/>
                <w:i w:val="0"/>
                <w:iCs w:val="0"/>
                <w:color w:val="000000"/>
                <w:sz w:val="24"/>
                <w:szCs w:val="24"/>
                <w:u w:val="none"/>
              </w:rPr>
            </w:pPr>
          </w:p>
        </w:tc>
      </w:tr>
      <w:tr w14:paraId="50C54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000000" w:sz="4" w:space="0"/>
              <w:right w:val="single" w:color="000000" w:sz="4" w:space="0"/>
            </w:tcBorders>
            <w:shd w:val="clear"/>
            <w:vAlign w:val="center"/>
          </w:tcPr>
          <w:p w14:paraId="381891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70</w:t>
            </w:r>
          </w:p>
        </w:tc>
        <w:tc>
          <w:tcPr>
            <w:tcW w:w="1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F0D1D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挖沟槽土方</w:t>
            </w:r>
          </w:p>
        </w:tc>
        <w:tc>
          <w:tcPr>
            <w:tcW w:w="1057" w:type="dxa"/>
            <w:tcBorders>
              <w:top w:val="single" w:color="000000" w:sz="4" w:space="0"/>
              <w:left w:val="single" w:color="000000" w:sz="4" w:space="0"/>
              <w:bottom w:val="single" w:color="000000" w:sz="4" w:space="0"/>
              <w:right w:val="single" w:color="000000" w:sz="4" w:space="0"/>
            </w:tcBorders>
            <w:shd w:val="clear"/>
            <w:vAlign w:val="center"/>
          </w:tcPr>
          <w:p w14:paraId="539D43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m3</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FE39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0BD32">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11C710">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vAlign w:val="center"/>
          </w:tcPr>
          <w:p w14:paraId="390274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67979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000000" w:sz="4" w:space="0"/>
              <w:left w:val="single" w:color="000000" w:sz="4" w:space="0"/>
              <w:bottom w:val="single" w:color="auto" w:sz="4" w:space="0"/>
              <w:right w:val="single" w:color="000000" w:sz="4" w:space="0"/>
            </w:tcBorders>
            <w:shd w:val="clear"/>
            <w:vAlign w:val="center"/>
          </w:tcPr>
          <w:p w14:paraId="68875A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71</w:t>
            </w:r>
          </w:p>
        </w:tc>
        <w:tc>
          <w:tcPr>
            <w:tcW w:w="1917" w:type="dxa"/>
            <w:tcBorders>
              <w:top w:val="single" w:color="000000" w:sz="4" w:space="0"/>
              <w:left w:val="single" w:color="000000" w:sz="4" w:space="0"/>
              <w:bottom w:val="single" w:color="auto" w:sz="4" w:space="0"/>
              <w:right w:val="single" w:color="000000" w:sz="4" w:space="0"/>
            </w:tcBorders>
            <w:shd w:val="clear" w:color="auto" w:fill="FFFFFF"/>
            <w:vAlign w:val="center"/>
          </w:tcPr>
          <w:p w14:paraId="0CF5B0B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余方弃置</w:t>
            </w:r>
          </w:p>
        </w:tc>
        <w:tc>
          <w:tcPr>
            <w:tcW w:w="1057" w:type="dxa"/>
            <w:tcBorders>
              <w:top w:val="single" w:color="000000" w:sz="4" w:space="0"/>
              <w:left w:val="single" w:color="000000" w:sz="4" w:space="0"/>
              <w:bottom w:val="single" w:color="auto" w:sz="4" w:space="0"/>
              <w:right w:val="single" w:color="000000" w:sz="4" w:space="0"/>
            </w:tcBorders>
            <w:shd w:val="clear"/>
            <w:vAlign w:val="center"/>
          </w:tcPr>
          <w:p w14:paraId="6B1EDA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m3</w:t>
            </w:r>
          </w:p>
        </w:tc>
        <w:tc>
          <w:tcPr>
            <w:tcW w:w="974" w:type="dxa"/>
            <w:tcBorders>
              <w:top w:val="single" w:color="000000" w:sz="4" w:space="0"/>
              <w:left w:val="single" w:color="000000" w:sz="4" w:space="0"/>
              <w:bottom w:val="single" w:color="auto" w:sz="4" w:space="0"/>
              <w:right w:val="single" w:color="000000" w:sz="4" w:space="0"/>
            </w:tcBorders>
            <w:shd w:val="clear" w:color="auto" w:fill="FFFFFF"/>
            <w:vAlign w:val="center"/>
          </w:tcPr>
          <w:p w14:paraId="6C94C5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w:t>
            </w:r>
          </w:p>
        </w:tc>
        <w:tc>
          <w:tcPr>
            <w:tcW w:w="1462" w:type="dxa"/>
            <w:tcBorders>
              <w:top w:val="single" w:color="000000" w:sz="4" w:space="0"/>
              <w:left w:val="single" w:color="000000" w:sz="4" w:space="0"/>
              <w:bottom w:val="single" w:color="auto" w:sz="4" w:space="0"/>
              <w:right w:val="single" w:color="000000" w:sz="4" w:space="0"/>
            </w:tcBorders>
            <w:shd w:val="clear" w:color="auto" w:fill="FFFFFF"/>
            <w:vAlign w:val="center"/>
          </w:tcPr>
          <w:p w14:paraId="024725BB">
            <w:pPr>
              <w:jc w:val="center"/>
              <w:rPr>
                <w:rFonts w:hint="eastAsia" w:ascii="宋体" w:hAnsi="宋体" w:eastAsia="宋体" w:cs="宋体"/>
                <w:i w:val="0"/>
                <w:iCs w:val="0"/>
                <w:color w:val="000000"/>
                <w:sz w:val="24"/>
                <w:szCs w:val="24"/>
                <w:u w:val="none"/>
              </w:rPr>
            </w:pPr>
          </w:p>
        </w:tc>
        <w:tc>
          <w:tcPr>
            <w:tcW w:w="1388" w:type="dxa"/>
            <w:tcBorders>
              <w:top w:val="single" w:color="000000" w:sz="4" w:space="0"/>
              <w:left w:val="single" w:color="000000" w:sz="4" w:space="0"/>
              <w:bottom w:val="single" w:color="auto" w:sz="4" w:space="0"/>
              <w:right w:val="single" w:color="000000" w:sz="4" w:space="0"/>
            </w:tcBorders>
            <w:shd w:val="clear" w:color="auto" w:fill="FFFFFF"/>
            <w:vAlign w:val="center"/>
          </w:tcPr>
          <w:p w14:paraId="284E8438">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auto" w:sz="4" w:space="0"/>
              <w:right w:val="single" w:color="000000" w:sz="4" w:space="0"/>
            </w:tcBorders>
            <w:shd w:val="clear"/>
            <w:vAlign w:val="center"/>
          </w:tcPr>
          <w:p w14:paraId="711D2A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0268F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972" w:type="dxa"/>
            <w:tcBorders>
              <w:top w:val="single" w:color="auto" w:sz="4" w:space="0"/>
              <w:left w:val="single" w:color="auto" w:sz="4" w:space="0"/>
              <w:bottom w:val="single" w:color="auto" w:sz="4" w:space="0"/>
              <w:right w:val="single" w:color="auto" w:sz="4" w:space="0"/>
            </w:tcBorders>
            <w:shd w:val="clear"/>
            <w:vAlign w:val="center"/>
          </w:tcPr>
          <w:p w14:paraId="5D12B9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72</w:t>
            </w:r>
          </w:p>
        </w:tc>
        <w:tc>
          <w:tcPr>
            <w:tcW w:w="1917" w:type="dxa"/>
            <w:tcBorders>
              <w:top w:val="single" w:color="auto" w:sz="4" w:space="0"/>
              <w:left w:val="single" w:color="auto" w:sz="4" w:space="0"/>
              <w:bottom w:val="single" w:color="auto" w:sz="4" w:space="0"/>
              <w:right w:val="single" w:color="auto" w:sz="4" w:space="0"/>
            </w:tcBorders>
            <w:shd w:val="clear" w:color="auto" w:fill="FFFFFF"/>
            <w:vAlign w:val="center"/>
          </w:tcPr>
          <w:p w14:paraId="3988924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M7.5浆砌毛石挡墙</w:t>
            </w:r>
          </w:p>
        </w:tc>
        <w:tc>
          <w:tcPr>
            <w:tcW w:w="1057" w:type="dxa"/>
            <w:tcBorders>
              <w:top w:val="single" w:color="auto" w:sz="4" w:space="0"/>
              <w:left w:val="single" w:color="auto" w:sz="4" w:space="0"/>
              <w:bottom w:val="single" w:color="auto" w:sz="4" w:space="0"/>
              <w:right w:val="single" w:color="auto" w:sz="4" w:space="0"/>
            </w:tcBorders>
            <w:shd w:val="clear"/>
            <w:vAlign w:val="center"/>
          </w:tcPr>
          <w:p w14:paraId="1BCB00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m3</w:t>
            </w:r>
          </w:p>
        </w:tc>
        <w:tc>
          <w:tcPr>
            <w:tcW w:w="974" w:type="dxa"/>
            <w:tcBorders>
              <w:top w:val="single" w:color="auto" w:sz="4" w:space="0"/>
              <w:left w:val="single" w:color="auto" w:sz="4" w:space="0"/>
              <w:bottom w:val="single" w:color="auto" w:sz="4" w:space="0"/>
              <w:right w:val="single" w:color="auto" w:sz="4" w:space="0"/>
            </w:tcBorders>
            <w:shd w:val="clear" w:color="auto" w:fill="FFFFFF"/>
            <w:vAlign w:val="center"/>
          </w:tcPr>
          <w:p w14:paraId="73AA83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w:t>
            </w:r>
          </w:p>
        </w:tc>
        <w:tc>
          <w:tcPr>
            <w:tcW w:w="1462" w:type="dxa"/>
            <w:tcBorders>
              <w:top w:val="single" w:color="auto" w:sz="4" w:space="0"/>
              <w:left w:val="single" w:color="auto" w:sz="4" w:space="0"/>
              <w:bottom w:val="single" w:color="auto" w:sz="4" w:space="0"/>
              <w:right w:val="single" w:color="auto" w:sz="4" w:space="0"/>
            </w:tcBorders>
            <w:shd w:val="clear" w:color="auto" w:fill="FFFFFF"/>
            <w:vAlign w:val="center"/>
          </w:tcPr>
          <w:p w14:paraId="22570C86">
            <w:pPr>
              <w:jc w:val="center"/>
              <w:rPr>
                <w:rFonts w:hint="eastAsia" w:ascii="宋体" w:hAnsi="宋体" w:eastAsia="宋体" w:cs="宋体"/>
                <w:i w:val="0"/>
                <w:iCs w:val="0"/>
                <w:color w:val="000000"/>
                <w:sz w:val="24"/>
                <w:szCs w:val="24"/>
                <w:u w:val="none"/>
              </w:rPr>
            </w:pPr>
          </w:p>
        </w:tc>
        <w:tc>
          <w:tcPr>
            <w:tcW w:w="1388" w:type="dxa"/>
            <w:tcBorders>
              <w:top w:val="single" w:color="auto" w:sz="4" w:space="0"/>
              <w:left w:val="single" w:color="auto" w:sz="4" w:space="0"/>
              <w:bottom w:val="single" w:color="auto" w:sz="4" w:space="0"/>
              <w:right w:val="single" w:color="auto" w:sz="4" w:space="0"/>
            </w:tcBorders>
            <w:shd w:val="clear" w:color="auto" w:fill="FFFFFF"/>
            <w:vAlign w:val="center"/>
          </w:tcPr>
          <w:p w14:paraId="73521E8D">
            <w:pPr>
              <w:jc w:val="center"/>
              <w:rPr>
                <w:rFonts w:hint="eastAsia" w:ascii="宋体" w:hAnsi="宋体" w:eastAsia="宋体" w:cs="宋体"/>
                <w:i w:val="0"/>
                <w:iCs w:val="0"/>
                <w:color w:val="000000"/>
                <w:sz w:val="24"/>
                <w:szCs w:val="24"/>
                <w:u w:val="none"/>
              </w:rPr>
            </w:pPr>
          </w:p>
        </w:tc>
        <w:tc>
          <w:tcPr>
            <w:tcW w:w="1750" w:type="dxa"/>
            <w:tcBorders>
              <w:top w:val="single" w:color="auto" w:sz="4" w:space="0"/>
              <w:left w:val="single" w:color="auto" w:sz="4" w:space="0"/>
              <w:bottom w:val="single" w:color="auto" w:sz="4" w:space="0"/>
              <w:right w:val="single" w:color="auto" w:sz="4" w:space="0"/>
            </w:tcBorders>
            <w:shd w:val="clear"/>
            <w:vAlign w:val="center"/>
          </w:tcPr>
          <w:p w14:paraId="26CF7F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按施工图要求完成本项工作任务所需全部人工、机具费</w:t>
            </w:r>
          </w:p>
        </w:tc>
      </w:tr>
      <w:tr w14:paraId="5EF8A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2889" w:type="dxa"/>
            <w:gridSpan w:val="2"/>
            <w:tcBorders>
              <w:top w:val="single" w:color="auto" w:sz="4" w:space="0"/>
              <w:left w:val="single" w:color="auto" w:sz="4" w:space="0"/>
              <w:bottom w:val="single" w:color="auto" w:sz="4" w:space="0"/>
              <w:right w:val="single" w:color="auto" w:sz="4" w:space="0"/>
            </w:tcBorders>
            <w:shd w:val="clear"/>
            <w:vAlign w:val="center"/>
          </w:tcPr>
          <w:p w14:paraId="23377A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不含税合计</w:t>
            </w:r>
          </w:p>
        </w:tc>
        <w:tc>
          <w:tcPr>
            <w:tcW w:w="6631" w:type="dxa"/>
            <w:gridSpan w:val="5"/>
            <w:tcBorders>
              <w:top w:val="single" w:color="auto" w:sz="4" w:space="0"/>
              <w:left w:val="single" w:color="auto" w:sz="4" w:space="0"/>
              <w:bottom w:val="single" w:color="auto" w:sz="4" w:space="0"/>
              <w:right w:val="single" w:color="auto" w:sz="4" w:space="0"/>
            </w:tcBorders>
            <w:shd w:val="clear"/>
            <w:vAlign w:val="center"/>
          </w:tcPr>
          <w:p w14:paraId="7C97AE8D">
            <w:pPr>
              <w:jc w:val="center"/>
              <w:rPr>
                <w:rFonts w:hint="eastAsia" w:ascii="宋体" w:hAnsi="宋体" w:eastAsia="宋体" w:cs="宋体"/>
                <w:i w:val="0"/>
                <w:iCs w:val="0"/>
                <w:color w:val="000000"/>
                <w:sz w:val="24"/>
                <w:szCs w:val="24"/>
                <w:u w:val="none"/>
              </w:rPr>
            </w:pPr>
          </w:p>
        </w:tc>
      </w:tr>
      <w:tr w14:paraId="107C7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2889" w:type="dxa"/>
            <w:gridSpan w:val="2"/>
            <w:tcBorders>
              <w:top w:val="single" w:color="auto" w:sz="4" w:space="0"/>
              <w:left w:val="single" w:color="000000" w:sz="4" w:space="0"/>
              <w:bottom w:val="single" w:color="000000" w:sz="4" w:space="0"/>
              <w:right w:val="single" w:color="000000" w:sz="4" w:space="0"/>
            </w:tcBorders>
            <w:shd w:val="clear"/>
            <w:vAlign w:val="center"/>
          </w:tcPr>
          <w:p w14:paraId="37A6D1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税金（税点）   %</w:t>
            </w:r>
          </w:p>
        </w:tc>
        <w:tc>
          <w:tcPr>
            <w:tcW w:w="6631" w:type="dxa"/>
            <w:gridSpan w:val="5"/>
            <w:tcBorders>
              <w:top w:val="single" w:color="auto" w:sz="4" w:space="0"/>
              <w:left w:val="single" w:color="000000" w:sz="4" w:space="0"/>
              <w:bottom w:val="single" w:color="000000" w:sz="4" w:space="0"/>
              <w:right w:val="single" w:color="000000" w:sz="4" w:space="0"/>
            </w:tcBorders>
            <w:shd w:val="clear"/>
            <w:noWrap/>
            <w:vAlign w:val="center"/>
          </w:tcPr>
          <w:p w14:paraId="0648B638">
            <w:pPr>
              <w:jc w:val="center"/>
              <w:rPr>
                <w:rFonts w:hint="eastAsia" w:ascii="宋体" w:hAnsi="宋体" w:eastAsia="宋体" w:cs="宋体"/>
                <w:i w:val="0"/>
                <w:iCs w:val="0"/>
                <w:color w:val="000000"/>
                <w:sz w:val="24"/>
                <w:szCs w:val="24"/>
                <w:u w:val="none"/>
              </w:rPr>
            </w:pPr>
          </w:p>
        </w:tc>
      </w:tr>
      <w:tr w14:paraId="250DF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2889" w:type="dxa"/>
            <w:gridSpan w:val="2"/>
            <w:tcBorders>
              <w:top w:val="single" w:color="000000" w:sz="4" w:space="0"/>
              <w:left w:val="single" w:color="000000" w:sz="4" w:space="0"/>
              <w:bottom w:val="single" w:color="000000" w:sz="4" w:space="0"/>
              <w:right w:val="single" w:color="000000" w:sz="4" w:space="0"/>
            </w:tcBorders>
            <w:shd w:val="clear"/>
            <w:vAlign w:val="center"/>
          </w:tcPr>
          <w:p w14:paraId="211FD0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含税合计</w:t>
            </w:r>
          </w:p>
        </w:tc>
        <w:tc>
          <w:tcPr>
            <w:tcW w:w="6631" w:type="dxa"/>
            <w:gridSpan w:val="5"/>
            <w:tcBorders>
              <w:top w:val="single" w:color="000000" w:sz="4" w:space="0"/>
              <w:left w:val="single" w:color="000000" w:sz="4" w:space="0"/>
              <w:bottom w:val="single" w:color="000000" w:sz="4" w:space="0"/>
              <w:right w:val="single" w:color="000000" w:sz="4" w:space="0"/>
            </w:tcBorders>
            <w:shd w:val="clear"/>
            <w:noWrap/>
            <w:vAlign w:val="center"/>
          </w:tcPr>
          <w:p w14:paraId="45E462DC">
            <w:pPr>
              <w:jc w:val="center"/>
              <w:rPr>
                <w:rFonts w:hint="eastAsia" w:ascii="宋体" w:hAnsi="宋体" w:eastAsia="宋体" w:cs="宋体"/>
                <w:i w:val="0"/>
                <w:iCs w:val="0"/>
                <w:color w:val="000000"/>
                <w:sz w:val="24"/>
                <w:szCs w:val="24"/>
                <w:u w:val="none"/>
              </w:rPr>
            </w:pPr>
          </w:p>
        </w:tc>
      </w:tr>
      <w:tr w14:paraId="710BC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jc w:val="center"/>
        </w:trPr>
        <w:tc>
          <w:tcPr>
            <w:tcW w:w="9520" w:type="dxa"/>
            <w:gridSpan w:val="7"/>
            <w:tcBorders>
              <w:top w:val="nil"/>
              <w:left w:val="nil"/>
              <w:bottom w:val="nil"/>
              <w:right w:val="nil"/>
            </w:tcBorders>
            <w:shd w:val="clear"/>
            <w:vAlign w:val="top"/>
          </w:tcPr>
          <w:p w14:paraId="019707D4">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联系人：                  联系方式：   </w:t>
            </w:r>
          </w:p>
        </w:tc>
      </w:tr>
    </w:tbl>
    <w:p w14:paraId="680B8E88">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2904EF48">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20303"/>
      <w:r>
        <w:rPr>
          <w:rFonts w:hint="eastAsia" w:ascii="宋体" w:hAnsi="宋体" w:eastAsia="宋体" w:cs="宋体"/>
          <w:b/>
          <w:bCs/>
          <w:color w:val="auto"/>
          <w:kern w:val="0"/>
          <w:sz w:val="32"/>
          <w:szCs w:val="32"/>
          <w:highlight w:val="none"/>
          <w:lang w:val="en-US" w:eastAsia="zh-CN"/>
        </w:rPr>
        <w:t>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023BD188">
      <w:pPr>
        <w:widowControl w:val="0"/>
        <w:spacing w:before="240" w:after="60"/>
        <w:jc w:val="center"/>
        <w:outlineLvl w:val="9"/>
        <w:rPr>
          <w:rFonts w:hint="eastAsia" w:ascii="仿宋" w:hAnsi="仿宋" w:eastAsia="仿宋" w:cs="Times New Roman"/>
          <w:b/>
          <w:bCs/>
          <w:kern w:val="2"/>
          <w:sz w:val="36"/>
          <w:szCs w:val="36"/>
          <w:lang w:val="en-US" w:eastAsia="zh-CN" w:bidi="ar-SA"/>
        </w:rPr>
      </w:pPr>
      <w:r>
        <w:rPr>
          <w:rFonts w:hint="eastAsia" w:ascii="仿宋" w:hAnsi="仿宋" w:eastAsia="仿宋" w:cs="Times New Roman"/>
          <w:b/>
          <w:bCs/>
          <w:kern w:val="2"/>
          <w:sz w:val="36"/>
          <w:szCs w:val="36"/>
          <w:lang w:val="en-US" w:eastAsia="zh-CN" w:bidi="ar-SA"/>
        </w:rPr>
        <w:t>工程机械租赁合同</w:t>
      </w:r>
    </w:p>
    <w:p w14:paraId="2C01E44C">
      <w:pPr>
        <w:wordWrap w:val="0"/>
        <w:autoSpaceDE w:val="0"/>
        <w:autoSpaceDN w:val="0"/>
        <w:spacing w:line="240" w:lineRule="auto"/>
        <w:ind w:right="0"/>
        <w:jc w:val="right"/>
        <w:rPr>
          <w:rFonts w:hint="default" w:ascii="仿宋" w:hAnsi="仿宋" w:eastAsia="仿宋" w:cs="Times New Roman"/>
          <w:sz w:val="24"/>
          <w:lang w:val="en-US" w:eastAsia="zh-CN"/>
        </w:rPr>
      </w:pPr>
      <w:r>
        <w:rPr>
          <w:rFonts w:hint="eastAsia" w:ascii="仿宋" w:hAnsi="仿宋" w:eastAsia="仿宋" w:cs="Times New Roman"/>
          <w:sz w:val="24"/>
        </w:rPr>
        <w:t xml:space="preserve">                                       合同编号：</w:t>
      </w:r>
      <w:r>
        <w:rPr>
          <w:rFonts w:hint="eastAsia" w:ascii="仿宋" w:hAnsi="仿宋" w:eastAsia="仿宋" w:cs="Times New Roman"/>
          <w:sz w:val="24"/>
          <w:u w:val="single"/>
          <w:lang w:val="en-US" w:eastAsia="zh-CN"/>
        </w:rPr>
        <w:t xml:space="preserve">                  </w:t>
      </w:r>
    </w:p>
    <w:p w14:paraId="5AAF632E">
      <w:pPr>
        <w:widowControl w:val="0"/>
        <w:jc w:val="both"/>
        <w:rPr>
          <w:rFonts w:hint="eastAsia" w:ascii="仿宋" w:hAnsi="仿宋" w:eastAsia="仿宋" w:cs="仿宋"/>
          <w:kern w:val="2"/>
          <w:sz w:val="24"/>
          <w:szCs w:val="24"/>
          <w:lang w:val="en-US" w:eastAsia="zh-CN" w:bidi="ar-SA"/>
        </w:rPr>
      </w:pPr>
    </w:p>
    <w:p w14:paraId="416D1314">
      <w:pPr>
        <w:autoSpaceDE w:val="0"/>
        <w:autoSpaceDN w:val="0"/>
        <w:spacing w:line="360" w:lineRule="auto"/>
        <w:ind w:firstLine="480" w:firstLineChars="200"/>
        <w:rPr>
          <w:rFonts w:hint="default" w:ascii="仿宋" w:hAnsi="仿宋" w:eastAsia="仿宋" w:cs="Times New Roman"/>
          <w:sz w:val="24"/>
          <w:lang w:val="en-US" w:eastAsia="zh-CN"/>
        </w:rPr>
      </w:pPr>
      <w:r>
        <w:rPr>
          <w:rFonts w:hint="eastAsia" w:ascii="仿宋" w:hAnsi="仿宋" w:eastAsia="仿宋" w:cs="Times New Roman"/>
          <w:sz w:val="24"/>
          <w:lang w:val="zh-CN"/>
        </w:rPr>
        <w:t>甲方</w:t>
      </w:r>
      <w:r>
        <w:rPr>
          <w:rFonts w:hint="eastAsia" w:ascii="仿宋" w:hAnsi="仿宋" w:eastAsia="仿宋" w:cs="Times New Roman"/>
          <w:sz w:val="24"/>
        </w:rPr>
        <w:t>（承租方）</w:t>
      </w:r>
      <w:r>
        <w:rPr>
          <w:rFonts w:hint="eastAsia" w:ascii="仿宋" w:hAnsi="仿宋" w:eastAsia="仿宋" w:cs="Times New Roman"/>
          <w:sz w:val="24"/>
          <w:lang w:val="zh-CN"/>
        </w:rPr>
        <w:t>：</w:t>
      </w:r>
      <w:r>
        <w:rPr>
          <w:rFonts w:hint="eastAsia" w:ascii="仿宋" w:hAnsi="仿宋" w:eastAsia="仿宋" w:cs="仿宋"/>
          <w:snapToGrid w:val="0"/>
          <w:spacing w:val="-10"/>
          <w:sz w:val="24"/>
          <w:u w:val="single"/>
          <w:lang w:val="en-US" w:eastAsia="zh-CN"/>
        </w:rPr>
        <w:t xml:space="preserve">                </w:t>
      </w:r>
    </w:p>
    <w:p w14:paraId="1C8903A6">
      <w:pPr>
        <w:autoSpaceDE w:val="0"/>
        <w:autoSpaceDN w:val="0"/>
        <w:spacing w:line="360" w:lineRule="auto"/>
        <w:ind w:firstLine="480" w:firstLineChars="200"/>
        <w:rPr>
          <w:rFonts w:hint="default" w:ascii="仿宋" w:hAnsi="仿宋" w:eastAsia="仿宋" w:cs="Times New Roman"/>
          <w:sz w:val="24"/>
          <w:lang w:val="en-US" w:eastAsia="zh-CN"/>
        </w:rPr>
      </w:pPr>
      <w:r>
        <w:rPr>
          <w:rFonts w:hint="eastAsia" w:ascii="仿宋" w:hAnsi="仿宋" w:eastAsia="仿宋" w:cs="Times New Roman"/>
          <w:sz w:val="24"/>
          <w:lang w:val="zh-CN"/>
        </w:rPr>
        <w:t>乙方</w:t>
      </w:r>
      <w:r>
        <w:rPr>
          <w:rFonts w:hint="eastAsia" w:ascii="仿宋" w:hAnsi="仿宋" w:eastAsia="仿宋" w:cs="Times New Roman"/>
          <w:sz w:val="24"/>
        </w:rPr>
        <w:t>（</w:t>
      </w:r>
      <w:r>
        <w:rPr>
          <w:rFonts w:hint="eastAsia" w:ascii="仿宋" w:hAnsi="仿宋" w:eastAsia="仿宋" w:cs="Times New Roman"/>
          <w:sz w:val="24"/>
          <w:lang w:val="zh-CN"/>
        </w:rPr>
        <w:t>出租方）：</w:t>
      </w:r>
      <w:r>
        <w:rPr>
          <w:rFonts w:hint="eastAsia" w:ascii="仿宋" w:hAnsi="仿宋" w:eastAsia="仿宋" w:cs="仿宋"/>
          <w:snapToGrid w:val="0"/>
          <w:color w:val="000000"/>
          <w:spacing w:val="-10"/>
          <w:sz w:val="24"/>
          <w:u w:val="single"/>
          <w:lang w:val="en-US" w:eastAsia="zh-CN"/>
        </w:rPr>
        <w:t xml:space="preserve">                </w:t>
      </w:r>
    </w:p>
    <w:p w14:paraId="72D0BFF8">
      <w:pPr>
        <w:spacing w:line="360" w:lineRule="auto"/>
        <w:ind w:firstLine="480" w:firstLineChars="200"/>
        <w:rPr>
          <w:rFonts w:ascii="仿宋" w:hAnsi="仿宋" w:eastAsia="仿宋" w:cs="Times New Roman"/>
          <w:sz w:val="24"/>
        </w:rPr>
      </w:pPr>
    </w:p>
    <w:p w14:paraId="48776439">
      <w:pPr>
        <w:spacing w:line="360" w:lineRule="auto"/>
        <w:ind w:firstLine="480" w:firstLineChars="200"/>
        <w:rPr>
          <w:rFonts w:hint="eastAsia" w:ascii="仿宋" w:hAnsi="仿宋" w:eastAsia="仿宋" w:cs="仿宋"/>
          <w:sz w:val="24"/>
        </w:rPr>
      </w:pPr>
      <w:r>
        <w:rPr>
          <w:rFonts w:hint="eastAsia" w:ascii="仿宋" w:hAnsi="仿宋" w:eastAsia="仿宋" w:cs="仿宋"/>
          <w:sz w:val="24"/>
        </w:rPr>
        <w:t>甲方因</w:t>
      </w:r>
      <w:r>
        <w:rPr>
          <w:rFonts w:hint="eastAsia" w:ascii="仿宋" w:hAnsi="仿宋" w:eastAsia="仿宋" w:cs="仿宋"/>
          <w:snapToGrid w:val="0"/>
          <w:color w:val="000000"/>
          <w:spacing w:val="-9"/>
          <w:sz w:val="24"/>
          <w:u w:val="single"/>
          <w:lang w:val="en-US" w:eastAsia="zh-CN"/>
        </w:rPr>
        <w:t xml:space="preserve">           </w:t>
      </w:r>
      <w:r>
        <w:rPr>
          <w:rFonts w:hint="eastAsia" w:ascii="仿宋" w:hAnsi="仿宋" w:eastAsia="仿宋" w:cs="仿宋"/>
          <w:spacing w:val="-3"/>
        </w:rPr>
        <w:t>需要租赁乙方</w:t>
      </w:r>
      <w:r>
        <w:rPr>
          <w:rFonts w:hint="eastAsia" w:ascii="仿宋" w:hAnsi="仿宋" w:eastAsia="仿宋" w:cs="仿宋"/>
          <w:spacing w:val="-3"/>
          <w:u w:val="single"/>
          <w:lang w:val="en-US" w:eastAsia="zh-CN"/>
        </w:rPr>
        <w:t xml:space="preserve">             </w:t>
      </w:r>
      <w:r>
        <w:rPr>
          <w:rFonts w:hint="eastAsia" w:ascii="仿宋" w:hAnsi="仿宋" w:eastAsia="仿宋" w:cs="仿宋"/>
          <w:spacing w:val="-3"/>
        </w:rPr>
        <w:t>，为了明确双方权利义务关系，甲、乙双方本着自愿、公平、平等互利的原则，经协商一致，达成如下协议：</w:t>
      </w:r>
    </w:p>
    <w:p w14:paraId="6598CDD1">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一、租赁工程设备概况：</w:t>
      </w:r>
    </w:p>
    <w:p w14:paraId="3E79A32A">
      <w:pPr>
        <w:widowControl w:val="0"/>
        <w:spacing w:before="181" w:line="360" w:lineRule="auto"/>
        <w:ind w:left="147" w:firstLine="468" w:firstLineChars="200"/>
        <w:jc w:val="both"/>
        <w:rPr>
          <w:rFonts w:hint="default" w:ascii="仿宋" w:hAnsi="仿宋" w:eastAsia="仿宋" w:cs="仿宋"/>
          <w:kern w:val="2"/>
          <w:sz w:val="24"/>
          <w:szCs w:val="24"/>
          <w:lang w:val="en-US" w:eastAsia="zh-CN" w:bidi="ar-SA"/>
        </w:rPr>
      </w:pPr>
      <w:r>
        <w:rPr>
          <w:rFonts w:ascii="仿宋" w:hAnsi="仿宋" w:eastAsia="仿宋" w:cs="仿宋"/>
          <w:spacing w:val="-3"/>
          <w:kern w:val="2"/>
          <w:sz w:val="24"/>
          <w:szCs w:val="24"/>
          <w:lang w:val="en-US" w:eastAsia="zh-CN" w:bidi="ar-SA"/>
        </w:rPr>
        <w:t>设备名称：</w:t>
      </w:r>
      <w:r>
        <w:rPr>
          <w:rFonts w:hint="eastAsia" w:ascii="仿宋" w:hAnsi="仿宋" w:eastAsia="仿宋" w:cs="仿宋"/>
          <w:spacing w:val="-3"/>
          <w:kern w:val="2"/>
          <w:sz w:val="24"/>
          <w:szCs w:val="24"/>
          <w:u w:val="single"/>
          <w:lang w:val="en-US" w:eastAsia="zh-CN" w:bidi="ar-SA"/>
        </w:rPr>
        <w:t xml:space="preserve">               </w:t>
      </w:r>
    </w:p>
    <w:p w14:paraId="459E6C75">
      <w:pPr>
        <w:widowControl w:val="0"/>
        <w:spacing w:before="218" w:line="360" w:lineRule="auto"/>
        <w:ind w:left="147" w:firstLine="420" w:firstLineChars="200"/>
        <w:jc w:val="both"/>
        <w:rPr>
          <w:rFonts w:hint="default" w:ascii="仿宋" w:hAnsi="仿宋" w:eastAsia="仿宋" w:cs="仿宋"/>
          <w:kern w:val="2"/>
          <w:sz w:val="24"/>
          <w:szCs w:val="24"/>
          <w:lang w:val="en-US" w:eastAsia="zh-CN" w:bidi="ar-SA"/>
        </w:rPr>
      </w:pPr>
      <w:r>
        <w:rPr>
          <w:rFonts w:ascii="仿宋" w:hAnsi="仿宋" w:eastAsia="仿宋" w:cs="仿宋"/>
          <w:spacing w:val="-15"/>
          <w:kern w:val="2"/>
          <w:sz w:val="24"/>
          <w:szCs w:val="24"/>
          <w:lang w:val="en-US" w:eastAsia="zh-CN" w:bidi="ar-SA"/>
        </w:rPr>
        <w:t>设备型号</w:t>
      </w:r>
      <w:r>
        <w:rPr>
          <w:rFonts w:hint="eastAsia" w:ascii="仿宋" w:hAnsi="仿宋" w:eastAsia="仿宋" w:cs="仿宋"/>
          <w:spacing w:val="-15"/>
          <w:kern w:val="2"/>
          <w:sz w:val="24"/>
          <w:szCs w:val="24"/>
          <w:lang w:val="en-US" w:eastAsia="zh-CN" w:bidi="ar-SA"/>
        </w:rPr>
        <w:t>：</w:t>
      </w:r>
      <w:r>
        <w:rPr>
          <w:rFonts w:hint="eastAsia" w:ascii="仿宋" w:hAnsi="仿宋" w:eastAsia="仿宋" w:cs="仿宋"/>
          <w:spacing w:val="-15"/>
          <w:kern w:val="2"/>
          <w:sz w:val="24"/>
          <w:szCs w:val="24"/>
          <w:u w:val="single"/>
          <w:lang w:val="en-US" w:eastAsia="zh-CN" w:bidi="ar-SA"/>
        </w:rPr>
        <w:t xml:space="preserve">                      </w:t>
      </w:r>
    </w:p>
    <w:p w14:paraId="4868CDC7">
      <w:pPr>
        <w:widowControl w:val="0"/>
        <w:spacing w:before="78" w:line="360" w:lineRule="auto"/>
        <w:ind w:left="368" w:leftChars="175" w:right="3197" w:firstLine="221" w:firstLineChars="99"/>
        <w:jc w:val="both"/>
        <w:rPr>
          <w:rFonts w:hint="eastAsia" w:ascii="仿宋" w:hAnsi="仿宋" w:eastAsia="仿宋" w:cs="仿宋"/>
          <w:kern w:val="2"/>
          <w:sz w:val="24"/>
          <w:szCs w:val="24"/>
          <w:lang w:val="en-US" w:eastAsia="zh-CN" w:bidi="ar-SA"/>
        </w:rPr>
      </w:pPr>
      <w:r>
        <w:rPr>
          <w:rFonts w:ascii="仿宋" w:hAnsi="仿宋" w:eastAsia="仿宋" w:cs="仿宋"/>
          <w:spacing w:val="-8"/>
          <w:kern w:val="2"/>
          <w:sz w:val="24"/>
          <w:szCs w:val="24"/>
          <w:lang w:val="en-US" w:eastAsia="zh-CN" w:bidi="ar-SA"/>
        </w:rPr>
        <w:t>租赁设备情况：</w:t>
      </w:r>
      <w:r>
        <w:rPr>
          <w:rFonts w:ascii="仿宋" w:hAnsi="仿宋" w:eastAsia="仿宋" w:cs="仿宋"/>
          <w:spacing w:val="-8"/>
          <w:kern w:val="2"/>
          <w:sz w:val="24"/>
          <w:szCs w:val="24"/>
          <w:u w:val="single"/>
          <w:lang w:val="en-US" w:eastAsia="zh-CN" w:bidi="ar-SA"/>
        </w:rPr>
        <w:t xml:space="preserve">  </w:t>
      </w:r>
      <w:r>
        <w:rPr>
          <w:rFonts w:hint="eastAsia" w:ascii="仿宋" w:hAnsi="仿宋" w:eastAsia="仿宋" w:cs="仿宋"/>
          <w:spacing w:val="-8"/>
          <w:kern w:val="2"/>
          <w:sz w:val="24"/>
          <w:szCs w:val="24"/>
          <w:u w:val="single"/>
          <w:lang w:val="en-US" w:eastAsia="zh-CN" w:bidi="ar-SA"/>
        </w:rPr>
        <w:t xml:space="preserve">           </w:t>
      </w:r>
      <w:r>
        <w:rPr>
          <w:rFonts w:ascii="仿宋" w:hAnsi="仿宋" w:eastAsia="仿宋" w:cs="仿宋"/>
          <w:spacing w:val="-8"/>
          <w:kern w:val="2"/>
          <w:sz w:val="24"/>
          <w:szCs w:val="24"/>
          <w:u w:val="single"/>
          <w:lang w:val="en-US" w:eastAsia="zh-CN" w:bidi="ar-SA"/>
        </w:rPr>
        <w:t xml:space="preserve">  </w:t>
      </w:r>
      <w:r>
        <w:rPr>
          <w:rFonts w:ascii="仿宋" w:hAnsi="仿宋" w:eastAsia="仿宋" w:cs="仿宋"/>
          <w:spacing w:val="-45"/>
          <w:kern w:val="2"/>
          <w:sz w:val="24"/>
          <w:szCs w:val="24"/>
          <w:lang w:val="en-US" w:eastAsia="zh-CN" w:bidi="ar-SA"/>
        </w:rPr>
        <w:t xml:space="preserve"> </w:t>
      </w:r>
      <w:r>
        <w:rPr>
          <w:rFonts w:ascii="仿宋" w:hAnsi="仿宋" w:eastAsia="仿宋" w:cs="仿宋"/>
          <w:spacing w:val="-8"/>
          <w:kern w:val="2"/>
          <w:sz w:val="24"/>
          <w:szCs w:val="24"/>
          <w:lang w:val="en-US" w:eastAsia="zh-CN" w:bidi="ar-SA"/>
        </w:rPr>
        <w:t>成新</w:t>
      </w:r>
    </w:p>
    <w:p w14:paraId="6A2951EF">
      <w:pPr>
        <w:spacing w:line="360" w:lineRule="auto"/>
        <w:ind w:firstLine="600" w:firstLineChars="300"/>
        <w:rPr>
          <w:rFonts w:hint="eastAsia" w:ascii="仿宋" w:hAnsi="仿宋" w:eastAsia="仿宋" w:cs="Times New Roman"/>
          <w:sz w:val="24"/>
        </w:rPr>
      </w:pPr>
      <w:r>
        <w:rPr>
          <w:rFonts w:hint="eastAsia" w:ascii="仿宋" w:hAnsi="仿宋" w:eastAsia="仿宋" w:cs="仿宋"/>
          <w:spacing w:val="-5"/>
        </w:rPr>
        <w:t>租赁设备应备资料：随机附设备的操作手册、保养手册、合格证，设备使</w:t>
      </w:r>
      <w:r>
        <w:rPr>
          <w:rFonts w:hint="eastAsia" w:ascii="仿宋" w:hAnsi="仿宋" w:eastAsia="仿宋" w:cs="仿宋"/>
          <w:spacing w:val="17"/>
        </w:rPr>
        <w:t xml:space="preserve"> </w:t>
      </w:r>
      <w:r>
        <w:rPr>
          <w:rFonts w:hint="eastAsia" w:ascii="仿宋" w:hAnsi="仿宋" w:eastAsia="仿宋" w:cs="仿宋"/>
          <w:spacing w:val="-7"/>
        </w:rPr>
        <w:t>用记录。</w:t>
      </w:r>
    </w:p>
    <w:p w14:paraId="0AC9A26F">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二、使用的工程项目：</w:t>
      </w:r>
    </w:p>
    <w:p w14:paraId="6E039D5B">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bCs/>
          <w:sz w:val="24"/>
        </w:rPr>
        <w:t>1、本设备仅限</w:t>
      </w:r>
      <w:r>
        <w:rPr>
          <w:rFonts w:hint="eastAsia" w:ascii="仿宋" w:hAnsi="仿宋" w:eastAsia="仿宋" w:cs="仿宋"/>
          <w:spacing w:val="-15"/>
          <w:sz w:val="24"/>
          <w:u w:val="single"/>
          <w:lang w:val="en-US" w:eastAsia="zh-CN"/>
        </w:rPr>
        <w:t xml:space="preserve">                          </w:t>
      </w:r>
      <w:r>
        <w:rPr>
          <w:rFonts w:hint="eastAsia" w:ascii="仿宋" w:hAnsi="仿宋" w:eastAsia="仿宋" w:cs="Times New Roman"/>
          <w:bCs/>
          <w:sz w:val="24"/>
        </w:rPr>
        <w:t>使用；</w:t>
      </w:r>
    </w:p>
    <w:p w14:paraId="2376433F">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bCs/>
          <w:sz w:val="24"/>
        </w:rPr>
        <w:t>2、所租设备如变更使用的工程项目，甲方应该提前</w:t>
      </w:r>
      <w:r>
        <w:rPr>
          <w:rFonts w:hint="eastAsia" w:ascii="仿宋" w:hAnsi="仿宋" w:eastAsia="仿宋" w:cs="Times New Roman"/>
          <w:bCs/>
          <w:sz w:val="24"/>
          <w:u w:val="single"/>
        </w:rPr>
        <w:t xml:space="preserve"> 3 </w:t>
      </w:r>
      <w:r>
        <w:rPr>
          <w:rFonts w:hint="eastAsia" w:ascii="仿宋" w:hAnsi="仿宋" w:eastAsia="仿宋" w:cs="Times New Roman"/>
          <w:bCs/>
          <w:sz w:val="24"/>
        </w:rPr>
        <w:t>天以书面形式通知乙方，双方协商并达成一致意见后，另签合同。</w:t>
      </w:r>
    </w:p>
    <w:p w14:paraId="5710BE54">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三、工程期限：</w:t>
      </w:r>
    </w:p>
    <w:p w14:paraId="555F73BF">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bCs/>
          <w:sz w:val="24"/>
        </w:rPr>
        <w:t>1、</w:t>
      </w:r>
      <w:r>
        <w:rPr>
          <w:rFonts w:hint="eastAsia" w:ascii="仿宋" w:hAnsi="仿宋" w:eastAsia="仿宋" w:cs="Times New Roman"/>
          <w:sz w:val="24"/>
        </w:rPr>
        <w:t>工程自</w:t>
      </w:r>
      <w:r>
        <w:rPr>
          <w:rFonts w:hint="eastAsia" w:ascii="仿宋" w:hAnsi="仿宋" w:eastAsia="仿宋" w:cs="仿宋"/>
          <w:spacing w:val="-13"/>
          <w:u w:val="single"/>
          <w:lang w:val="en-US" w:eastAsia="zh-CN"/>
        </w:rPr>
        <w:t xml:space="preserve">     </w:t>
      </w:r>
      <w:r>
        <w:rPr>
          <w:rFonts w:hint="eastAsia" w:ascii="仿宋" w:hAnsi="仿宋" w:eastAsia="仿宋" w:cs="仿宋"/>
          <w:spacing w:val="-13"/>
          <w:u w:val="single"/>
        </w:rPr>
        <w:t>年</w:t>
      </w:r>
      <w:r>
        <w:rPr>
          <w:rFonts w:hint="eastAsia" w:ascii="仿宋" w:hAnsi="仿宋" w:eastAsia="仿宋" w:cs="仿宋"/>
          <w:spacing w:val="-13"/>
          <w:u w:val="single"/>
          <w:lang w:val="en-US" w:eastAsia="zh-CN"/>
        </w:rPr>
        <w:t xml:space="preserve">    </w:t>
      </w:r>
      <w:r>
        <w:rPr>
          <w:rFonts w:hint="eastAsia" w:ascii="仿宋" w:hAnsi="仿宋" w:eastAsia="仿宋" w:cs="仿宋"/>
          <w:spacing w:val="-13"/>
          <w:u w:val="single"/>
        </w:rPr>
        <w:t>月</w:t>
      </w:r>
      <w:r>
        <w:rPr>
          <w:rFonts w:hint="eastAsia" w:ascii="仿宋" w:hAnsi="仿宋" w:eastAsia="仿宋" w:cs="仿宋"/>
          <w:spacing w:val="-13"/>
          <w:u w:val="single"/>
          <w:lang w:val="en-US" w:eastAsia="zh-CN"/>
        </w:rPr>
        <w:t xml:space="preserve">   </w:t>
      </w:r>
      <w:r>
        <w:rPr>
          <w:rFonts w:hint="eastAsia" w:ascii="仿宋" w:hAnsi="仿宋" w:eastAsia="仿宋" w:cs="仿宋"/>
          <w:spacing w:val="-13"/>
          <w:u w:val="single"/>
        </w:rPr>
        <w:t>日</w:t>
      </w:r>
      <w:r>
        <w:rPr>
          <w:rFonts w:hint="eastAsia" w:ascii="仿宋" w:hAnsi="仿宋" w:eastAsia="仿宋" w:cs="Times New Roman"/>
          <w:sz w:val="24"/>
        </w:rPr>
        <w:t>至</w:t>
      </w:r>
      <w:r>
        <w:rPr>
          <w:rFonts w:hint="eastAsia" w:ascii="仿宋" w:hAnsi="仿宋" w:eastAsia="仿宋" w:cs="Times New Roman"/>
          <w:sz w:val="24"/>
          <w:u w:val="single"/>
        </w:rPr>
        <w:t>工程完工</w:t>
      </w:r>
      <w:r>
        <w:rPr>
          <w:rFonts w:hint="eastAsia" w:ascii="仿宋" w:hAnsi="仿宋" w:eastAsia="仿宋" w:cs="Times New Roman"/>
          <w:sz w:val="24"/>
        </w:rPr>
        <w:t>，</w:t>
      </w:r>
      <w:r>
        <w:rPr>
          <w:rFonts w:hint="eastAsia" w:ascii="仿宋" w:hAnsi="仿宋" w:eastAsia="仿宋" w:cs="Times New Roman"/>
          <w:color w:val="000000"/>
          <w:sz w:val="24"/>
        </w:rPr>
        <w:t>具体进场时间以甲方通知为准。止租日期以现场实际完成《租赁合同工程量清单表》约定的工作内容为准。以《租赁合同工程量清单表》约定的计价方式以数量*单价的形式结算。</w:t>
      </w:r>
    </w:p>
    <w:p w14:paraId="3802FC77">
      <w:pPr>
        <w:spacing w:line="360" w:lineRule="auto"/>
        <w:ind w:firstLine="482" w:firstLineChars="200"/>
        <w:rPr>
          <w:rFonts w:hint="eastAsia" w:ascii="仿宋" w:hAnsi="仿宋" w:eastAsia="仿宋" w:cs="Times New Roman"/>
          <w:b/>
          <w:bCs/>
          <w:sz w:val="24"/>
        </w:rPr>
      </w:pPr>
      <w:r>
        <w:rPr>
          <w:rFonts w:hint="eastAsia" w:ascii="仿宋" w:hAnsi="仿宋" w:eastAsia="仿宋" w:cs="Times New Roman"/>
          <w:b/>
          <w:bCs/>
          <w:sz w:val="24"/>
        </w:rPr>
        <w:t>四、结算、付款、发票约定</w:t>
      </w:r>
    </w:p>
    <w:p w14:paraId="205F30C7">
      <w:pPr>
        <w:spacing w:line="360" w:lineRule="auto"/>
        <w:ind w:firstLine="480" w:firstLineChars="200"/>
        <w:jc w:val="left"/>
        <w:rPr>
          <w:rFonts w:ascii="仿宋" w:hAnsi="仿宋" w:eastAsia="仿宋" w:cs="仿宋"/>
          <w:spacing w:val="-7"/>
          <w:sz w:val="24"/>
        </w:rPr>
      </w:pPr>
      <w:r>
        <w:rPr>
          <w:rFonts w:hint="eastAsia" w:ascii="仿宋" w:hAnsi="仿宋" w:eastAsia="仿宋" w:cs="Times New Roman"/>
          <w:sz w:val="24"/>
        </w:rPr>
        <w:t>1、</w:t>
      </w:r>
      <w:r>
        <w:rPr>
          <w:rFonts w:hint="eastAsia" w:ascii="仿宋" w:hAnsi="仿宋" w:eastAsia="仿宋" w:cs="仿宋"/>
          <w:spacing w:val="-7"/>
          <w:sz w:val="24"/>
        </w:rPr>
        <w:t>本合同的暂定（含税）总价为人民币</w:t>
      </w:r>
      <w:r>
        <w:rPr>
          <w:rFonts w:hint="eastAsia" w:ascii="仿宋" w:hAnsi="仿宋" w:eastAsia="仿宋" w:cs="仿宋"/>
          <w:spacing w:val="-7"/>
          <w:sz w:val="24"/>
          <w:u w:val="single"/>
          <w:lang w:val="en-US" w:eastAsia="zh-CN"/>
        </w:rPr>
        <w:t xml:space="preserve">     </w:t>
      </w:r>
      <w:r>
        <w:rPr>
          <w:rFonts w:hint="eastAsia" w:ascii="仿宋" w:hAnsi="仿宋" w:eastAsia="仿宋" w:cs="仿宋"/>
          <w:spacing w:val="-7"/>
          <w:sz w:val="24"/>
          <w:u w:val="single"/>
        </w:rPr>
        <w:t>元</w:t>
      </w:r>
      <w:r>
        <w:rPr>
          <w:rFonts w:hint="eastAsia" w:ascii="仿宋" w:hAnsi="仿宋" w:eastAsia="仿宋" w:cs="仿宋"/>
          <w:spacing w:val="-7"/>
          <w:sz w:val="24"/>
        </w:rPr>
        <w:t>（大写：</w:t>
      </w:r>
      <w:r>
        <w:rPr>
          <w:rFonts w:hint="eastAsia" w:ascii="仿宋" w:hAnsi="仿宋" w:eastAsia="仿宋" w:cs="仿宋"/>
          <w:spacing w:val="-7"/>
          <w:sz w:val="24"/>
          <w:u w:val="single"/>
          <w:lang w:val="en-US" w:eastAsia="zh-CN"/>
        </w:rPr>
        <w:t xml:space="preserve">          </w:t>
      </w:r>
      <w:r>
        <w:rPr>
          <w:rFonts w:hint="eastAsia" w:ascii="仿宋" w:hAnsi="仿宋" w:eastAsia="仿宋" w:cs="仿宋"/>
          <w:spacing w:val="-37"/>
          <w:sz w:val="24"/>
        </w:rPr>
        <w:t>），</w:t>
      </w:r>
      <w:r>
        <w:rPr>
          <w:rFonts w:hint="eastAsia" w:ascii="仿宋" w:hAnsi="仿宋" w:eastAsia="仿宋" w:cs="仿宋"/>
          <w:spacing w:val="-5"/>
          <w:sz w:val="24"/>
        </w:rPr>
        <w:t>其中不含增值税总价</w:t>
      </w:r>
      <w:r>
        <w:rPr>
          <w:rFonts w:hint="eastAsia" w:ascii="仿宋" w:hAnsi="仿宋" w:eastAsia="仿宋" w:cs="仿宋"/>
          <w:spacing w:val="-5"/>
          <w:sz w:val="24"/>
          <w:u w:val="single"/>
          <w:lang w:val="en-US" w:eastAsia="zh-CN"/>
        </w:rPr>
        <w:t xml:space="preserve">     </w:t>
      </w:r>
      <w:r>
        <w:rPr>
          <w:rFonts w:hint="eastAsia" w:ascii="仿宋" w:hAnsi="仿宋" w:eastAsia="仿宋" w:cs="仿宋"/>
          <w:spacing w:val="-5"/>
          <w:sz w:val="24"/>
          <w:u w:val="single"/>
        </w:rPr>
        <w:t>元</w:t>
      </w:r>
      <w:r>
        <w:rPr>
          <w:rFonts w:hint="eastAsia" w:ascii="仿宋" w:hAnsi="仿宋" w:eastAsia="仿宋" w:cs="仿宋"/>
          <w:spacing w:val="-5"/>
          <w:sz w:val="24"/>
        </w:rPr>
        <w:t>（大写：</w:t>
      </w:r>
      <w:r>
        <w:rPr>
          <w:rFonts w:hint="eastAsia" w:ascii="仿宋" w:hAnsi="仿宋" w:eastAsia="仿宋" w:cs="仿宋"/>
          <w:spacing w:val="-5"/>
          <w:sz w:val="24"/>
          <w:u w:val="single"/>
          <w:lang w:val="en-US" w:eastAsia="zh-CN"/>
        </w:rPr>
        <w:t xml:space="preserve">      </w:t>
      </w:r>
      <w:r>
        <w:rPr>
          <w:rFonts w:hint="eastAsia" w:ascii="仿宋" w:hAnsi="仿宋" w:eastAsia="仿宋" w:cs="仿宋"/>
          <w:spacing w:val="-22"/>
          <w:sz w:val="24"/>
        </w:rPr>
        <w:t>），</w:t>
      </w:r>
      <w:r>
        <w:rPr>
          <w:rFonts w:hint="eastAsia" w:ascii="仿宋" w:hAnsi="仿宋" w:eastAsia="仿宋" w:cs="仿宋"/>
          <w:spacing w:val="-4"/>
          <w:sz w:val="24"/>
        </w:rPr>
        <w:t>增值税</w:t>
      </w:r>
      <w:r>
        <w:rPr>
          <w:rFonts w:hint="eastAsia" w:ascii="仿宋" w:hAnsi="仿宋" w:eastAsia="仿宋" w:cs="仿宋"/>
          <w:spacing w:val="-4"/>
          <w:sz w:val="24"/>
          <w:u w:val="single"/>
          <w:lang w:val="en-US" w:eastAsia="zh-CN"/>
        </w:rPr>
        <w:t xml:space="preserve">      </w:t>
      </w:r>
      <w:r>
        <w:rPr>
          <w:rFonts w:hint="eastAsia" w:ascii="仿宋" w:hAnsi="仿宋" w:eastAsia="仿宋" w:cs="仿宋"/>
          <w:spacing w:val="-5"/>
          <w:sz w:val="24"/>
          <w:u w:val="single"/>
        </w:rPr>
        <w:t>元</w:t>
      </w:r>
      <w:r>
        <w:rPr>
          <w:rFonts w:hint="eastAsia" w:ascii="仿宋" w:hAnsi="仿宋" w:eastAsia="仿宋" w:cs="仿宋"/>
          <w:spacing w:val="-5"/>
          <w:sz w:val="24"/>
        </w:rPr>
        <w:t>（大写：</w:t>
      </w:r>
      <w:r>
        <w:rPr>
          <w:rFonts w:hint="eastAsia" w:ascii="仿宋" w:hAnsi="仿宋" w:eastAsia="仿宋" w:cs="仿宋"/>
          <w:spacing w:val="-5"/>
          <w:sz w:val="24"/>
          <w:u w:val="single"/>
          <w:lang w:val="en-US" w:eastAsia="zh-CN"/>
        </w:rPr>
        <w:t xml:space="preserve">      </w:t>
      </w:r>
      <w:r>
        <w:rPr>
          <w:rFonts w:hint="eastAsia" w:ascii="仿宋" w:hAnsi="仿宋" w:eastAsia="仿宋" w:cs="仿宋"/>
          <w:spacing w:val="-36"/>
          <w:sz w:val="24"/>
        </w:rPr>
        <w:t>），</w:t>
      </w:r>
      <w:r>
        <w:rPr>
          <w:rFonts w:hint="eastAsia" w:ascii="仿宋" w:hAnsi="仿宋" w:eastAsia="仿宋" w:cs="仿宋"/>
          <w:spacing w:val="-2"/>
          <w:sz w:val="24"/>
        </w:rPr>
        <w:t>增值税按不含增值税总价的</w:t>
      </w:r>
      <w:r>
        <w:rPr>
          <w:rFonts w:hint="eastAsia" w:ascii="仿宋" w:hAnsi="仿宋" w:eastAsia="仿宋" w:cs="仿宋"/>
          <w:spacing w:val="-2"/>
          <w:sz w:val="24"/>
          <w:u w:val="single"/>
        </w:rPr>
        <w:t xml:space="preserve"> </w:t>
      </w:r>
      <w:r>
        <w:rPr>
          <w:rFonts w:hint="eastAsia" w:ascii="仿宋" w:hAnsi="仿宋" w:eastAsia="仿宋" w:cs="仿宋"/>
          <w:spacing w:val="-2"/>
          <w:sz w:val="24"/>
          <w:u w:val="single"/>
          <w:lang w:val="en-US" w:eastAsia="zh-CN"/>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3"/>
          <w:sz w:val="24"/>
        </w:rPr>
        <w:t>单列（增值税</w:t>
      </w:r>
      <w:r>
        <w:rPr>
          <w:rFonts w:hint="eastAsia" w:ascii="仿宋" w:hAnsi="仿宋" w:eastAsia="仿宋" w:cs="仿宋"/>
          <w:spacing w:val="1"/>
          <w:sz w:val="24"/>
        </w:rPr>
        <w:t xml:space="preserve"> </w:t>
      </w:r>
      <w:r>
        <w:rPr>
          <w:rFonts w:hint="eastAsia" w:ascii="仿宋" w:hAnsi="仿宋" w:eastAsia="仿宋" w:cs="仿宋"/>
          <w:spacing w:val="-3"/>
          <w:sz w:val="24"/>
        </w:rPr>
        <w:t>税率随国家政策和适用税率同步调整</w:t>
      </w:r>
      <w:r>
        <w:rPr>
          <w:rFonts w:hint="eastAsia" w:ascii="仿宋" w:hAnsi="仿宋" w:eastAsia="仿宋" w:cs="仿宋"/>
          <w:spacing w:val="-38"/>
          <w:sz w:val="24"/>
        </w:rPr>
        <w:t>）；</w:t>
      </w:r>
      <w:r>
        <w:rPr>
          <w:rFonts w:hint="eastAsia" w:ascii="仿宋" w:hAnsi="仿宋" w:eastAsia="仿宋" w:cs="仿宋"/>
          <w:spacing w:val="-3"/>
          <w:sz w:val="24"/>
        </w:rPr>
        <w:t>本合同暂定总价不作为双</w:t>
      </w:r>
      <w:r>
        <w:rPr>
          <w:rFonts w:hint="eastAsia" w:ascii="仿宋" w:hAnsi="仿宋" w:eastAsia="仿宋" w:cs="仿宋"/>
          <w:spacing w:val="-4"/>
          <w:sz w:val="24"/>
        </w:rPr>
        <w:t>方最终结算</w:t>
      </w:r>
      <w:r>
        <w:rPr>
          <w:rFonts w:hint="eastAsia" w:ascii="仿宋" w:hAnsi="仿宋" w:eastAsia="仿宋" w:cs="仿宋"/>
          <w:spacing w:val="1"/>
          <w:sz w:val="24"/>
        </w:rPr>
        <w:t xml:space="preserve"> </w:t>
      </w:r>
      <w:r>
        <w:rPr>
          <w:rFonts w:hint="eastAsia" w:ascii="仿宋" w:hAnsi="仿宋" w:eastAsia="仿宋" w:cs="仿宋"/>
          <w:spacing w:val="-5"/>
          <w:sz w:val="24"/>
        </w:rPr>
        <w:t>的依据。结算租赁时间、数量按实际发生的、且每月得到甲方项目经理部签认</w:t>
      </w:r>
      <w:r>
        <w:rPr>
          <w:rFonts w:hint="eastAsia" w:ascii="仿宋" w:hAnsi="仿宋" w:eastAsia="仿宋" w:cs="仿宋"/>
          <w:spacing w:val="-7"/>
          <w:sz w:val="24"/>
        </w:rPr>
        <w:t>的为准。</w:t>
      </w:r>
    </w:p>
    <w:p w14:paraId="1BEA39D6">
      <w:pPr>
        <w:widowControl w:val="0"/>
        <w:spacing w:before="70" w:line="351" w:lineRule="auto"/>
        <w:ind w:left="45" w:right="134" w:rightChars="64" w:firstLine="480"/>
        <w:jc w:val="both"/>
        <w:rPr>
          <w:rFonts w:hint="eastAsia" w:ascii="仿宋" w:hAnsi="仿宋" w:eastAsia="仿宋" w:cs="仿宋"/>
          <w:spacing w:val="-5"/>
          <w:kern w:val="2"/>
          <w:sz w:val="24"/>
          <w:szCs w:val="24"/>
          <w:lang w:val="en-US" w:eastAsia="zh-CN" w:bidi="ar-SA"/>
        </w:rPr>
      </w:pPr>
      <w:r>
        <w:rPr>
          <w:rFonts w:hint="eastAsia" w:ascii="仿宋" w:hAnsi="仿宋" w:eastAsia="仿宋" w:cs="仿宋"/>
          <w:kern w:val="2"/>
          <w:sz w:val="24"/>
          <w:szCs w:val="24"/>
          <w:lang w:val="en-US" w:eastAsia="zh-CN" w:bidi="ar-SA"/>
        </w:rPr>
        <w:t>预付款支付：</w:t>
      </w:r>
      <w:r>
        <w:rPr>
          <w:rFonts w:hint="eastAsia" w:ascii="仿宋" w:hAnsi="仿宋" w:eastAsia="仿宋" w:cs="仿宋"/>
          <w:kern w:val="2"/>
          <w:sz w:val="24"/>
          <w:szCs w:val="24"/>
          <w:u w:val="single"/>
          <w:lang w:val="en-US" w:eastAsia="zh-CN" w:bidi="ar-SA"/>
        </w:rPr>
        <w:t>合同签订后  日内支付合同总价的   %给乙方作为工程预付款，金额      元，大写：     ，预付款的扣回时间：乙方完成的工程量产值达到合同总价    %开始扣回；扣回方式：在月工程进度款中全额抵扣至预付款全部扣回为止。</w:t>
      </w:r>
    </w:p>
    <w:p w14:paraId="1438FD69">
      <w:pPr>
        <w:spacing w:line="360" w:lineRule="auto"/>
        <w:ind w:firstLine="480" w:firstLineChars="200"/>
        <w:jc w:val="left"/>
        <w:rPr>
          <w:rFonts w:ascii="仿宋" w:hAnsi="仿宋" w:eastAsia="仿宋" w:cs="Times New Roman"/>
          <w:sz w:val="24"/>
        </w:rPr>
      </w:pPr>
      <w:r>
        <w:rPr>
          <w:rFonts w:hint="eastAsia" w:ascii="仿宋" w:hAnsi="仿宋" w:eastAsia="仿宋" w:cs="Times New Roman"/>
          <w:sz w:val="24"/>
        </w:rPr>
        <w:t>2、</w:t>
      </w:r>
      <w:r>
        <w:rPr>
          <w:rFonts w:ascii="仿宋" w:hAnsi="仿宋" w:eastAsia="仿宋" w:cs="仿宋"/>
          <w:snapToGrid w:val="0"/>
          <w:color w:val="000000"/>
          <w:spacing w:val="-9"/>
          <w:sz w:val="24"/>
        </w:rPr>
        <w:t>结算方式：在业主支付对应工程款后，由甲方根据自身资金情况</w:t>
      </w:r>
      <w:r>
        <w:rPr>
          <w:rFonts w:hint="eastAsia" w:ascii="仿宋" w:hAnsi="仿宋" w:eastAsia="仿宋" w:cs="仿宋"/>
          <w:snapToGrid w:val="0"/>
          <w:color w:val="000000"/>
          <w:spacing w:val="-9"/>
          <w:sz w:val="24"/>
        </w:rPr>
        <w:t>决定</w:t>
      </w:r>
      <w:r>
        <w:rPr>
          <w:rFonts w:ascii="仿宋" w:hAnsi="仿宋" w:eastAsia="仿宋" w:cs="仿宋"/>
          <w:snapToGrid w:val="0"/>
          <w:color w:val="000000"/>
          <w:spacing w:val="-9"/>
          <w:sz w:val="24"/>
        </w:rPr>
        <w:t>支付比例</w:t>
      </w:r>
      <w:r>
        <w:rPr>
          <w:rFonts w:hint="eastAsia" w:ascii="仿宋" w:hAnsi="仿宋" w:eastAsia="仿宋" w:cs="仿宋"/>
          <w:snapToGrid w:val="0"/>
          <w:color w:val="000000"/>
          <w:spacing w:val="-9"/>
          <w:sz w:val="24"/>
        </w:rPr>
        <w:t>，</w:t>
      </w:r>
      <w:r>
        <w:rPr>
          <w:rFonts w:hint="eastAsia" w:ascii="仿宋" w:hAnsi="仿宋" w:eastAsia="仿宋" w:cs="Times New Roman"/>
          <w:sz w:val="24"/>
        </w:rPr>
        <w:t>原则上每月</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日前甲方支付上月租赁费用的</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w:t>
      </w:r>
      <w:r>
        <w:rPr>
          <w:rFonts w:hint="eastAsia" w:ascii="仿宋" w:hAnsi="仿宋" w:eastAsia="仿宋" w:cs="Times New Roman"/>
          <w:sz w:val="24"/>
        </w:rPr>
        <w:t>。每月</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日前并自乙方发出租赁结算表五日内，甲方项目经理部对租赁结算表中所载工程量、租赁日期及租金进行确认，并将其中两份原件交还乙方。若对租赁结算表中的数据存在争议，甲方在乙方发出租赁结算表五日内以书面形式提出，对有争议部分，双方本着实事求是的原则协商解决，但不影响无争议的结算确认及款项支付。</w:t>
      </w:r>
    </w:p>
    <w:p w14:paraId="638A7E87">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3、本合同清单综合单价和不含增值税总价包括：机械设备租金、机械设备进退场费、机械燃油费、机手工资、管理费、利润、除增值税以外的一切税费（包括但不限于为实施本合同应缴纳的企业所得税、个人所得税、印花税、资源税、城市维护建设税、教育费附加、地方教育附加、堤围防护费等），以及施工点安全维护、保证自身人员安全设施的费用。</w:t>
      </w:r>
    </w:p>
    <w:p w14:paraId="0B81F7A2">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4、本合同涉及的所有支付均由甲方支付到乙方在合同约定的银行账户，无特殊情况下，甲方不接受乙方提供的任何第三方收款银行账户或委托收款。</w:t>
      </w:r>
    </w:p>
    <w:p w14:paraId="7A7E160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5、乙方应在每期结算确认后，在甲方租金支付前，根据合同内容和结算书内容向甲方出具相应增值税发票。以上条件不满足时，乙方不得向甲方申请支付款项，甲方有权停止支付且由乙方自身承担风险。</w:t>
      </w:r>
    </w:p>
    <w:p w14:paraId="6C88143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乙方向甲方开具发票的金额（价税合计）需严格依据“累计确认结算量与资金支付量孰高原则”。</w:t>
      </w:r>
    </w:p>
    <w:p w14:paraId="4724D60F">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发票类别（增值税专用发票或普通发票）与本项目的计税方法（一般计税方法或简易计税方法）匹配。</w:t>
      </w:r>
    </w:p>
    <w:p w14:paraId="6061479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利益受损的，全部损失由乙方承担。</w:t>
      </w:r>
    </w:p>
    <w:p w14:paraId="56A54985">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0407A13A">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五、设备的进退场费用：</w:t>
      </w:r>
    </w:p>
    <w:p w14:paraId="67A1DE40">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bCs/>
          <w:sz w:val="24"/>
        </w:rPr>
        <w:t>设备的进场费用由</w:t>
      </w:r>
      <w:r>
        <w:rPr>
          <w:rFonts w:hint="eastAsia" w:ascii="仿宋" w:hAnsi="仿宋" w:eastAsia="仿宋" w:cs="Times New Roman"/>
          <w:bCs/>
          <w:sz w:val="24"/>
          <w:u w:val="single"/>
        </w:rPr>
        <w:t xml:space="preserve">  </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u w:val="single"/>
        </w:rPr>
        <w:t xml:space="preserve"> </w:t>
      </w:r>
      <w:r>
        <w:rPr>
          <w:rFonts w:hint="eastAsia" w:ascii="仿宋" w:hAnsi="仿宋" w:eastAsia="仿宋" w:cs="Times New Roman"/>
          <w:bCs/>
          <w:sz w:val="24"/>
        </w:rPr>
        <w:t>方负责，止租后的退场费用由</w:t>
      </w:r>
      <w:r>
        <w:rPr>
          <w:rFonts w:hint="eastAsia" w:ascii="仿宋" w:hAnsi="仿宋" w:eastAsia="仿宋" w:cs="Times New Roman"/>
          <w:bCs/>
          <w:sz w:val="24"/>
          <w:u w:val="single"/>
        </w:rPr>
        <w:t xml:space="preserve"> </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rPr>
        <w:t>方负责。</w:t>
      </w:r>
    </w:p>
    <w:p w14:paraId="46AC72DF">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六、甲方的权利义务：</w:t>
      </w:r>
    </w:p>
    <w:p w14:paraId="714AE6C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1、甲方拥有本合同所出租设备的使用权，在双方确定的合同租期内，不受使用时间的限制，但甲方不得强迫机手违规操作和超负荷作业</w:t>
      </w:r>
      <w:r>
        <w:rPr>
          <w:rFonts w:hint="eastAsia" w:ascii="仿宋" w:hAnsi="仿宋" w:eastAsia="仿宋" w:cs="Times New Roman"/>
          <w:sz w:val="24"/>
          <w:u w:val="single"/>
        </w:rPr>
        <w:t>（</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名机手连续</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小时以上）</w:t>
      </w:r>
      <w:r>
        <w:rPr>
          <w:rFonts w:hint="eastAsia" w:ascii="仿宋" w:hAnsi="仿宋" w:eastAsia="仿宋" w:cs="Times New Roman"/>
          <w:sz w:val="24"/>
        </w:rPr>
        <w:t>；月累计使用时间</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小时内，乙方机手必须服从甲方项目管理人员工作安排，包括加班作业等。</w:t>
      </w:r>
    </w:p>
    <w:p w14:paraId="7DCDF970">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2、机械设备在租赁期内所需的燃油由</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方负担，其余油料、配件及维修保养等费用均由乙方自行承担。</w:t>
      </w:r>
    </w:p>
    <w:p w14:paraId="36589CE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3、未经乙方同意，甲方不得将租赁设备向第三方转让、转租及抵押，以及转换其他项目使用。</w:t>
      </w:r>
    </w:p>
    <w:p w14:paraId="57D42214">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设备进场后由甲方负责安排人员值班保管（设备停置妥当、熄火并锁好车门）；如因甲方原因需将设备停放在甲方场地外的地方，乙方机手应与甲方值班人员交接设备后方可离开，否则，甲方不承担设备的损失责任（设备贵重配件应存放于甲方仓库中保管）；如因甲方原因造成乙方设备失盗、人为毁损，甲方按双方协商确定的评估机构的估价赔偿乙方。</w:t>
      </w:r>
    </w:p>
    <w:p w14:paraId="62C6247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5、若租赁设备在甲方正常使用中出现性能问题或经常发生故障而影响甲方使用时，甲方有权要求乙方换机或退租，由此产生的相关费用由乙方负责；若造成甲方损失的，乙方应承担相应的赔偿责任。</w:t>
      </w:r>
    </w:p>
    <w:p w14:paraId="59420DF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6、甲方负责向乙方机手宣贯甲方的规章制度、安全操作规程及安全生产施工要求，并负责提供食宿安排（标准与甲方一般施工人员相同，生活用品由乙方机手自行解决）。</w:t>
      </w:r>
    </w:p>
    <w:p w14:paraId="4B7EA70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7、因不可抗力因素造成租赁设备的损失，甲方做好配合与协助工作，但不承担修复及赔偿责任。</w:t>
      </w:r>
    </w:p>
    <w:p w14:paraId="58325A68">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8、乙方设备不配机手时，甲方应保证安全、正常地使用设备，并遵守国家有关法律法规。因乙方设备状况不良而引致的任何损失，免除甲方责任，由乙方负责相应的费用。</w:t>
      </w:r>
    </w:p>
    <w:p w14:paraId="5E15A5D4">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9、乙方应在设备上配备常用的配件、备件工具，若乙方设备发生故障，为保证本项目工作的顺利完成，甲方有权电话知会乙方后进行快速抢修，所发生的费用从租赁费用中扣回。</w:t>
      </w:r>
    </w:p>
    <w:p w14:paraId="5AC9572C">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七、乙方的权利义务</w:t>
      </w:r>
    </w:p>
    <w:p w14:paraId="51DBE562">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1、乙方承诺其拥有本合同出租设备的所有权，不存在权利瑕疵，在租给甲方使用期间，确保甲方不受第三方主张权利。</w:t>
      </w:r>
    </w:p>
    <w:p w14:paraId="4203327D">
      <w:pPr>
        <w:spacing w:line="360" w:lineRule="auto"/>
        <w:ind w:firstLine="482" w:firstLineChars="200"/>
        <w:rPr>
          <w:rFonts w:ascii="仿宋" w:hAnsi="仿宋" w:eastAsia="仿宋" w:cs="Times New Roman"/>
          <w:sz w:val="24"/>
        </w:rPr>
      </w:pPr>
      <w:r>
        <w:rPr>
          <w:rFonts w:hint="eastAsia" w:ascii="仿宋" w:hAnsi="仿宋" w:eastAsia="仿宋" w:cs="Times New Roman"/>
          <w:b/>
          <w:bCs/>
          <w:sz w:val="24"/>
        </w:rPr>
        <w:t>乙方须向甲方出具设备的所有权证书以及购买凭证（购买合同、发票等可证明权属的有效凭证），前述凭证复印件应加盖乙方公章并作为本合同附件列明。如乙方未能提供以上凭证或提供虚假资料的，甲方有权单方面解除合同。</w:t>
      </w:r>
    </w:p>
    <w:p w14:paraId="271F474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乙方所提供的设备必须是正规厂家生产的合格机械设备，且技术性能良好、设备状况良好，可随时投入甲方施工使用；乙方设备的时间记录和油位必须完好，设备配件、备件工具与出租清单一致，设备由合法途径取得且无不良记录。</w:t>
      </w:r>
    </w:p>
    <w:p w14:paraId="1AD00979">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3、乙方负责设备的保养与维修，设备保养、维修、故障修理所发生的保养费用、维修费、换件费、油脂费、人工费等均由乙方负责。一个月内只允许有</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天停机修理时间（正常保养和级别保养除外），若修理期超过</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天（含</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天），则对设备超期维修时间按</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元</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日</w:t>
      </w:r>
      <w:r>
        <w:rPr>
          <w:rFonts w:hint="eastAsia" w:ascii="仿宋" w:hAnsi="仿宋" w:eastAsia="仿宋" w:cs="Times New Roman"/>
          <w:sz w:val="24"/>
        </w:rPr>
        <w:t>扣减租金。</w:t>
      </w:r>
    </w:p>
    <w:p w14:paraId="17E88F6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4、乙方应确保设备处于良好的使用状态，应配备常用的机械配件，尽量减少设备故障率。由于保养不当或维修不及时造成甲方无法正常使用设备而需另租时，按</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元</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日扣减乙方租金，直至甲方另租到相应设备时为止，同时由乙方承担甲方另租设备所发生的一切费用；如因乙方保养不当造成设备排污达不到相关标准而被环保部门罚款时，由乙方负责。</w:t>
      </w:r>
    </w:p>
    <w:p w14:paraId="4B02440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乙方机手应遵守国家有关法律法规，遵守甲方的规章制度，服从甲方的使用安排、安全生产管理和合理调度（若超出设备安全使用要求时，乙方人员应及时与甲方人员取得有效沟通），安全、正常地使用设备。设备事故造成损失的：</w:t>
      </w:r>
    </w:p>
    <w:p w14:paraId="2C50A958">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（1）因乙方人员违章、操作不当或失误造成的，由乙方负责相应的责任与费用；</w:t>
      </w:r>
    </w:p>
    <w:p w14:paraId="17E7047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（2）因乙方设备状况不良或故障引起安全事故的，由乙方负责全部的责任与费用；</w:t>
      </w:r>
    </w:p>
    <w:p w14:paraId="0B01A8A3">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因乙方机手不按甲方要求停放设备、配件保管不善、没有安全和正常地使用设备、不服从甲方使用安排和合理调度，造成设备、配件、备件工具损坏或丢失，由乙方承担损失；若给甲方带来连带损失的（如损坏甲方财产、甲方施工结构物等），乙方还应负责相应的赔偿。</w:t>
      </w:r>
    </w:p>
    <w:p w14:paraId="21070B0B">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（4）乙方机械进退场期间产生的一切安全事故，均由乙方负责全部的责任与费用。</w:t>
      </w:r>
    </w:p>
    <w:p w14:paraId="383D2FD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 xml:space="preserve">6、乙方机手必须完成甲方安排的作业工作量，否则，甲方可从乙方每期结算金额中扣除 </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用于甲方另行调度设备的费用补偿；</w:t>
      </w:r>
    </w:p>
    <w:p w14:paraId="5BC507C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7、乙方机手必须具备相应设备的上岗资格，持相关证书（符合国家规定或设备行业颁发的上岗证、技工证书等）、相应证件（劳务证、计生证等），必须严格按照设备的操作规程进行安全操作。乙方机手工资由乙方负责发放。</w:t>
      </w:r>
    </w:p>
    <w:p w14:paraId="75035B6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乙方设备配备机手或其余操作人员时，在设备进场作业前，乙方须提交进场人员花名册、进场人员用工合同到甲方处备案。中途进场的人员，进场前乙方需向甲方提交中途进场人员的用工合同。乙方不得招用超过退休年龄的人员。</w:t>
      </w:r>
    </w:p>
    <w:p w14:paraId="77809515">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乙方应购买所出租设备的财产保险和人员的人身意外险和工伤保险，乙方人员如果在工作过程中因操作不当或机械故障、违章操作、冒险作业等乙方原因引起的工伤或其它意外由乙方负责。</w:t>
      </w:r>
    </w:p>
    <w:p w14:paraId="5B9B345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9、乙方机手不得参与“黄、赌、毒”等活动，遵守治安综合治理的有关规定，若因参与“黄、赌、毒”所发生的一切后果由乙方负责。</w:t>
      </w:r>
    </w:p>
    <w:p w14:paraId="7B50CA9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10、乙方应教导其操作人员应遵守甲方项目部的管理制度。</w:t>
      </w:r>
    </w:p>
    <w:p w14:paraId="29805CDF">
      <w:pPr>
        <w:spacing w:line="360" w:lineRule="auto"/>
        <w:ind w:firstLine="482" w:firstLineChars="200"/>
        <w:rPr>
          <w:rFonts w:hint="eastAsia" w:ascii="仿宋" w:hAnsi="仿宋" w:eastAsia="仿宋" w:cs="Times New Roman"/>
          <w:b/>
          <w:bCs/>
          <w:sz w:val="24"/>
        </w:rPr>
      </w:pPr>
      <w:r>
        <w:rPr>
          <w:rFonts w:hint="eastAsia" w:ascii="仿宋" w:hAnsi="仿宋" w:eastAsia="仿宋" w:cs="Times New Roman"/>
          <w:b/>
          <w:bCs/>
          <w:sz w:val="24"/>
        </w:rPr>
        <w:t>八、违约责任</w:t>
      </w:r>
    </w:p>
    <w:p w14:paraId="2FFD28D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如乙方无故未依时调遣相应机械设备入场作业的，则从逾期的第一天起，每逾期一天则按合同暂定金额的万分之三向甲方支付违约金，直到设备入场作业为止。逾期超过15日的，甲方有权解除合同并要求乙方支付合同暂定金额的</w:t>
      </w:r>
      <w:r>
        <w:rPr>
          <w:rFonts w:hint="eastAsia" w:ascii="仿宋" w:hAnsi="仿宋" w:eastAsia="仿宋" w:cs="Times New Roman"/>
          <w:sz w:val="24"/>
          <w:lang w:val="en-US" w:eastAsia="zh-CN"/>
        </w:rPr>
        <w:t xml:space="preserve">  </w:t>
      </w:r>
      <w:r>
        <w:rPr>
          <w:rFonts w:hint="eastAsia" w:ascii="仿宋" w:hAnsi="仿宋" w:eastAsia="仿宋" w:cs="Times New Roman"/>
          <w:sz w:val="24"/>
        </w:rPr>
        <w:t>%作为违约金；甲方选择继续履行合同的，乙方仍须支付逾期调遣机械设备违约金。</w:t>
      </w:r>
    </w:p>
    <w:p w14:paraId="642FC905">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2、如乙方的机械设备多次发生故障（</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 xml:space="preserve"> 次以上）配合不了现场工程进度的，甲方有权单方解除合同并要求乙方支付本合同暂定金额的</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w:t>
      </w:r>
      <w:r>
        <w:rPr>
          <w:rFonts w:hint="eastAsia" w:ascii="仿宋" w:hAnsi="仿宋" w:eastAsia="仿宋" w:cs="Times New Roman"/>
          <w:sz w:val="24"/>
        </w:rPr>
        <w:t>作为违约金，违约金不足以弥补工期延误对甲方所造成的经济损失的，甲方有权按照实际损失向乙方追偿。</w:t>
      </w:r>
    </w:p>
    <w:p w14:paraId="69143CAE">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甲方不对乙方提供的机械设备的商标、专利等知识产权以及设备所有权是否侵犯第三方权利负责。对于因乙方机械设备导致的知识产权、所有权争议或违法行为，甲方有权单方以书面通知解除本合同，并不承担任何违约责任，由乙方负责与第三方交涉、参加诉讼进行抗辩，并承担由此引起的一切法律和经济上的责任。如造成甲方损失的，甲方有权向乙方追偿。</w:t>
      </w:r>
    </w:p>
    <w:p w14:paraId="63EF1A5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4、乙方若未按本合同第七条的约定对进场人员（机手、设备安装人员等）进行用工管理，导致乙方人员申请工伤认定、劳动仲裁或提起诉讼而牵连甲方的，每发生一宗乙方应赔偿甲方违约金人民币</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万元，该违约金可从甲方应付给乙方的任何款项内扣除。</w:t>
      </w:r>
    </w:p>
    <w:p w14:paraId="1922297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发生劳动争议仲裁或诉讼后，乙方可自行选择与进场人员和解或应诉；选择应诉的，甲方将按案件标的的1.3倍暂扣乙方的应收款项直至案件解决。</w:t>
      </w:r>
    </w:p>
    <w:p w14:paraId="6C5756E1">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九、附则</w:t>
      </w:r>
    </w:p>
    <w:p w14:paraId="41E4B5D7">
      <w:pPr>
        <w:spacing w:line="360" w:lineRule="auto"/>
        <w:ind w:firstLine="480" w:firstLineChars="200"/>
        <w:rPr>
          <w:rFonts w:hint="eastAsia" w:ascii="仿宋" w:hAnsi="仿宋" w:eastAsia="仿宋" w:cs="Times New Roman"/>
          <w:sz w:val="24"/>
        </w:rPr>
      </w:pPr>
      <w:r>
        <w:rPr>
          <w:rFonts w:ascii="仿宋" w:hAnsi="仿宋" w:eastAsia="仿宋" w:cs="Times New Roman"/>
          <w:sz w:val="24"/>
        </w:rPr>
        <w:t>1</w:t>
      </w:r>
      <w:r>
        <w:rPr>
          <w:rFonts w:hint="eastAsia" w:ascii="仿宋" w:hAnsi="仿宋" w:eastAsia="仿宋" w:cs="Times New Roman"/>
          <w:sz w:val="24"/>
        </w:rPr>
        <w:t>、甲方不允许项目部人员擅自变更本合同以及以甲方或甲方项目部名义对外借款等。甲方与乙方之间签订的任何合同、协议、补充合同、承诺书、确认单等均以甲方</w:t>
      </w:r>
      <w:r>
        <w:rPr>
          <w:rFonts w:hint="eastAsia" w:ascii="仿宋" w:hAnsi="仿宋" w:eastAsia="仿宋" w:cs="Times New Roman"/>
          <w:bCs/>
          <w:sz w:val="24"/>
        </w:rPr>
        <w:t>委派项目经理签字并加盖公司公章或公司合同专用章</w:t>
      </w:r>
      <w:r>
        <w:rPr>
          <w:rFonts w:hint="eastAsia" w:ascii="仿宋" w:hAnsi="仿宋" w:eastAsia="仿宋" w:cs="Times New Roman"/>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4E32C29A">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2、有关本合同的一切争议，甲、乙双方应根据法律规定以及本合同的约定友好协商解决，协商不成时，可向甲方所在地有管辖权的人民法院提起诉讼。</w:t>
      </w:r>
    </w:p>
    <w:p w14:paraId="69CEAC6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1E4CBF44">
      <w:pPr>
        <w:spacing w:line="360" w:lineRule="auto"/>
        <w:ind w:firstLine="480" w:firstLineChars="200"/>
        <w:rPr>
          <w:rFonts w:hint="default" w:ascii="仿宋" w:hAnsi="仿宋" w:eastAsia="仿宋" w:cs="Times New Roman"/>
          <w:sz w:val="24"/>
          <w:lang w:val="en-US" w:eastAsia="zh-CN"/>
        </w:rPr>
      </w:pPr>
      <w:r>
        <w:rPr>
          <w:rFonts w:hint="eastAsia" w:ascii="仿宋" w:hAnsi="仿宋" w:eastAsia="仿宋" w:cs="Times New Roman"/>
          <w:sz w:val="24"/>
        </w:rPr>
        <w:t>甲方地址：</w:t>
      </w:r>
      <w:r>
        <w:rPr>
          <w:rFonts w:hint="eastAsia" w:ascii="仿宋" w:hAnsi="仿宋" w:eastAsia="仿宋" w:cs="仿宋"/>
          <w:snapToGrid w:val="0"/>
          <w:color w:val="000000"/>
          <w:sz w:val="24"/>
          <w:u w:val="single"/>
          <w:lang w:val="en-US" w:eastAsia="zh-CN"/>
        </w:rPr>
        <w:t xml:space="preserve">                </w:t>
      </w:r>
    </w:p>
    <w:p w14:paraId="2D091DBB">
      <w:pPr>
        <w:spacing w:line="360" w:lineRule="auto"/>
        <w:ind w:firstLine="480" w:firstLineChars="200"/>
        <w:rPr>
          <w:rFonts w:hint="default" w:ascii="仿宋" w:hAnsi="仿宋" w:eastAsia="仿宋" w:cs="Times New Roman"/>
          <w:sz w:val="24"/>
          <w:u w:val="single"/>
          <w:lang w:val="en-US" w:eastAsia="zh-CN"/>
        </w:rPr>
      </w:pPr>
      <w:r>
        <w:rPr>
          <w:rFonts w:hint="eastAsia" w:ascii="仿宋" w:hAnsi="仿宋" w:eastAsia="仿宋" w:cs="Times New Roman"/>
          <w:sz w:val="24"/>
        </w:rPr>
        <w:t>乙方地址：</w:t>
      </w:r>
      <w:r>
        <w:rPr>
          <w:rFonts w:hint="eastAsia" w:ascii="仿宋" w:hAnsi="仿宋" w:eastAsia="仿宋" w:cs="仿宋"/>
          <w:snapToGrid w:val="0"/>
          <w:color w:val="000000"/>
          <w:sz w:val="24"/>
          <w:u w:val="single"/>
          <w:lang w:val="en-US" w:eastAsia="zh-CN"/>
        </w:rPr>
        <w:t xml:space="preserve">                 </w:t>
      </w:r>
    </w:p>
    <w:p w14:paraId="676AB7AA">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4、本合同未尽事宜，由甲、乙双方协商后，签订补充协议解决；</w:t>
      </w:r>
    </w:p>
    <w:p w14:paraId="4FFECD3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5、本合同一式肆份，甲方执</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份，乙方执</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份，均具有同等效力；</w:t>
      </w:r>
    </w:p>
    <w:p w14:paraId="391C88C2">
      <w:pPr>
        <w:spacing w:line="360" w:lineRule="auto"/>
        <w:rPr>
          <w:rFonts w:hint="eastAsia" w:ascii="仿宋" w:hAnsi="仿宋" w:eastAsia="仿宋" w:cs="Times New Roman"/>
          <w:sz w:val="24"/>
        </w:rPr>
      </w:pPr>
      <w:r>
        <w:rPr>
          <w:rFonts w:hint="eastAsia" w:ascii="仿宋" w:hAnsi="仿宋" w:eastAsia="仿宋" w:cs="Times New Roman"/>
          <w:sz w:val="24"/>
        </w:rPr>
        <w:t>6、本合同在双方代表签署并加盖公章后生效，双方履行了合同中全部责任后失效。</w:t>
      </w:r>
    </w:p>
    <w:p w14:paraId="2B2AB62C">
      <w:pPr>
        <w:spacing w:line="360" w:lineRule="auto"/>
        <w:rPr>
          <w:rFonts w:hint="eastAsia" w:ascii="仿宋" w:hAnsi="仿宋" w:eastAsia="仿宋" w:cs="Times New Roman"/>
          <w:sz w:val="24"/>
        </w:rPr>
      </w:pPr>
    </w:p>
    <w:p w14:paraId="31CB5C6D">
      <w:pPr>
        <w:spacing w:line="360" w:lineRule="auto"/>
        <w:rPr>
          <w:rFonts w:hint="eastAsia" w:ascii="仿宋" w:hAnsi="仿宋" w:eastAsia="仿宋" w:cs="Times New Roman"/>
          <w:b/>
          <w:bCs/>
          <w:sz w:val="24"/>
        </w:rPr>
      </w:pPr>
      <w:r>
        <w:rPr>
          <w:rFonts w:hint="eastAsia" w:ascii="仿宋" w:hAnsi="仿宋" w:eastAsia="仿宋" w:cs="Times New Roman"/>
          <w:b/>
          <w:bCs/>
          <w:sz w:val="24"/>
        </w:rPr>
        <w:t>合同附件：</w:t>
      </w:r>
    </w:p>
    <w:p w14:paraId="23D5F00B">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1、乙方营业执照复印件</w:t>
      </w:r>
    </w:p>
    <w:p w14:paraId="6692A086">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2、设备权属证明复印件</w:t>
      </w:r>
    </w:p>
    <w:p w14:paraId="4605AD71">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3、设备购买发票、购买合同复印件</w:t>
      </w:r>
    </w:p>
    <w:p w14:paraId="42349335">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4、乙方设备安装、操作等人员花名册、人员资格证书复印件</w:t>
      </w:r>
    </w:p>
    <w:p w14:paraId="5D669784">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5、进场人员劳动用工合同复印件</w:t>
      </w:r>
    </w:p>
    <w:p w14:paraId="21E5EB97">
      <w:pPr>
        <w:spacing w:line="360" w:lineRule="auto"/>
        <w:rPr>
          <w:rFonts w:hint="eastAsia" w:ascii="仿宋" w:hAnsi="仿宋" w:eastAsia="仿宋" w:cs="Times New Roman"/>
          <w:sz w:val="24"/>
        </w:rPr>
      </w:pPr>
      <w:r>
        <w:rPr>
          <w:rFonts w:hint="eastAsia" w:ascii="仿宋" w:hAnsi="仿宋" w:eastAsia="仿宋" w:cs="Times New Roman"/>
          <w:sz w:val="24"/>
        </w:rPr>
        <w:t>（本行以下无正文，仅为签字盖章页）</w:t>
      </w:r>
    </w:p>
    <w:p w14:paraId="4DD20CF6">
      <w:pPr>
        <w:spacing w:line="360" w:lineRule="auto"/>
        <w:rPr>
          <w:rFonts w:hint="eastAsia" w:ascii="仿宋" w:hAnsi="仿宋" w:eastAsia="仿宋" w:cs="Times New Roman"/>
          <w:sz w:val="24"/>
        </w:rPr>
      </w:pPr>
    </w:p>
    <w:p w14:paraId="2E999D9B">
      <w:pPr>
        <w:spacing w:line="360" w:lineRule="auto"/>
        <w:rPr>
          <w:rFonts w:hint="eastAsia" w:ascii="仿宋" w:hAnsi="仿宋" w:eastAsia="仿宋" w:cs="Times New Roman"/>
          <w:sz w:val="24"/>
        </w:rPr>
      </w:pPr>
    </w:p>
    <w:p w14:paraId="0D270CA4">
      <w:pPr>
        <w:spacing w:line="360" w:lineRule="auto"/>
        <w:rPr>
          <w:rFonts w:hint="eastAsia" w:ascii="仿宋" w:hAnsi="仿宋" w:eastAsia="仿宋" w:cs="Times New Roman"/>
          <w:sz w:val="24"/>
        </w:rPr>
      </w:pPr>
    </w:p>
    <w:p w14:paraId="76EE9ECE">
      <w:pPr>
        <w:autoSpaceDE w:val="0"/>
        <w:autoSpaceDN w:val="0"/>
        <w:spacing w:line="360" w:lineRule="auto"/>
        <w:jc w:val="left"/>
        <w:rPr>
          <w:rFonts w:hint="eastAsia" w:ascii="仿宋" w:hAnsi="仿宋" w:eastAsia="仿宋" w:cs="Times New Roman"/>
          <w:sz w:val="24"/>
        </w:rPr>
      </w:pPr>
    </w:p>
    <w:p w14:paraId="518D19B2">
      <w:pPr>
        <w:autoSpaceDE w:val="0"/>
        <w:autoSpaceDN w:val="0"/>
        <w:spacing w:line="360" w:lineRule="auto"/>
        <w:ind w:left="6239" w:leftChars="228" w:hanging="5760" w:hangingChars="2400"/>
        <w:jc w:val="left"/>
        <w:rPr>
          <w:rFonts w:ascii="仿宋" w:hAnsi="仿宋" w:eastAsia="仿宋" w:cs="Times New Roman"/>
          <w:sz w:val="24"/>
        </w:rPr>
      </w:pPr>
      <w:r>
        <w:rPr>
          <w:rFonts w:hint="eastAsia" w:ascii="仿宋" w:hAnsi="仿宋" w:eastAsia="仿宋" w:cs="Times New Roman"/>
          <w:sz w:val="24"/>
        </w:rPr>
        <w:t>甲方：</w:t>
      </w:r>
      <w:r>
        <w:rPr>
          <w:rFonts w:hint="eastAsia" w:ascii="仿宋" w:hAnsi="仿宋" w:eastAsia="仿宋" w:cs="Times New Roman"/>
          <w:sz w:val="24"/>
          <w:lang w:val="en-US" w:eastAsia="zh-CN"/>
        </w:rPr>
        <w:t xml:space="preserve">                 </w:t>
      </w:r>
      <w:r>
        <w:rPr>
          <w:rFonts w:hint="eastAsia" w:ascii="仿宋" w:hAnsi="仿宋" w:eastAsia="仿宋" w:cs="Times New Roman"/>
          <w:sz w:val="24"/>
        </w:rPr>
        <w:t xml:space="preserve">(盖章)  </w:t>
      </w:r>
      <w:r>
        <w:rPr>
          <w:rFonts w:hint="eastAsia" w:ascii="仿宋" w:hAnsi="仿宋" w:eastAsia="仿宋" w:cs="Times New Roman"/>
          <w:sz w:val="24"/>
          <w:lang w:val="en-US" w:eastAsia="zh-CN"/>
        </w:rPr>
        <w:t xml:space="preserve">        </w:t>
      </w:r>
      <w:r>
        <w:rPr>
          <w:rFonts w:hint="eastAsia" w:ascii="仿宋" w:hAnsi="仿宋" w:eastAsia="仿宋" w:cs="Times New Roman"/>
          <w:sz w:val="24"/>
        </w:rPr>
        <w:t>乙方：</w:t>
      </w:r>
      <w:r>
        <w:rPr>
          <w:rFonts w:hint="eastAsia" w:ascii="仿宋" w:hAnsi="仿宋" w:eastAsia="仿宋" w:cs="Times New Roman"/>
          <w:sz w:val="24"/>
          <w:lang w:val="en-US" w:eastAsia="zh-CN"/>
        </w:rPr>
        <w:t xml:space="preserve">               </w:t>
      </w:r>
      <w:r>
        <w:rPr>
          <w:rFonts w:hint="eastAsia" w:ascii="仿宋" w:hAnsi="仿宋" w:eastAsia="仿宋" w:cs="Times New Roman"/>
          <w:sz w:val="24"/>
        </w:rPr>
        <w:t>（盖章）</w:t>
      </w:r>
      <w:r>
        <w:rPr>
          <w:rFonts w:ascii="仿宋" w:hAnsi="仿宋" w:eastAsia="仿宋" w:cs="Times New Roman"/>
          <w:sz w:val="24"/>
        </w:rPr>
        <w:t xml:space="preserve">               </w:t>
      </w:r>
    </w:p>
    <w:p w14:paraId="6AC12932">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法定代表人:                            法定代表人:</w:t>
      </w:r>
    </w:p>
    <w:p w14:paraId="0529C215">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 xml:space="preserve">或委托代理人：                         或委托代理人：         </w:t>
      </w:r>
      <w:r>
        <w:rPr>
          <w:rFonts w:ascii="仿宋" w:hAnsi="仿宋" w:eastAsia="仿宋" w:cs="Times New Roman"/>
          <w:sz w:val="24"/>
        </w:rPr>
        <w:t xml:space="preserve">     </w:t>
      </w:r>
      <w:r>
        <w:rPr>
          <w:rFonts w:hint="eastAsia" w:ascii="仿宋" w:hAnsi="仿宋" w:eastAsia="仿宋" w:cs="Times New Roman"/>
          <w:sz w:val="24"/>
        </w:rPr>
        <w:t xml:space="preserve">       </w:t>
      </w:r>
    </w:p>
    <w:p w14:paraId="10594B16">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签订时间：                             签订时间：</w:t>
      </w:r>
    </w:p>
    <w:p w14:paraId="66471209">
      <w:pPr>
        <w:rPr>
          <w:rFonts w:hint="eastAsia"/>
          <w:lang w:val="en-US" w:eastAsia="zh-CN"/>
        </w:rPr>
      </w:pPr>
      <w:r>
        <w:rPr>
          <w:rFonts w:hint="eastAsia"/>
          <w:lang w:val="en-US" w:eastAsia="zh-CN"/>
        </w:rPr>
        <w:br w:type="page"/>
      </w:r>
    </w:p>
    <w:p w14:paraId="7FF5B2CF">
      <w:pPr>
        <w:rPr>
          <w:rFonts w:hint="eastAsia"/>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7313"/>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bCs/>
          <w:color w:val="auto"/>
          <w:kern w:val="2"/>
          <w:sz w:val="36"/>
          <w:szCs w:val="36"/>
          <w:highlight w:val="none"/>
          <w:u w:color="000000"/>
          <w:lang w:val="en-US" w:eastAsia="zh-CN" w:bidi="ar-SA"/>
        </w:rPr>
        <w:t>惠东县平海镇城镇污水管网及雨污分流建设工程一惠东县平海镇城镇雨污分流建设工程(二期)施工</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bCs/>
          <w:color w:val="auto"/>
          <w:kern w:val="2"/>
          <w:sz w:val="36"/>
          <w:szCs w:val="36"/>
          <w:highlight w:val="none"/>
          <w:u w:color="000000"/>
          <w:lang w:val="en-US" w:eastAsia="zh-CN" w:bidi="ar-SA"/>
        </w:rPr>
        <w:t>（编号02号）工程机械租赁</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bCs/>
          <w:color w:val="auto"/>
          <w:kern w:val="2"/>
          <w:sz w:val="36"/>
          <w:szCs w:val="36"/>
          <w:highlight w:val="none"/>
          <w:u w:color="000000"/>
          <w:lang w:val="en-US" w:eastAsia="zh-CN" w:bidi="ar-SA"/>
        </w:rPr>
        <w:t>竞价</w:t>
      </w:r>
      <w:r>
        <w:rPr>
          <w:rFonts w:hint="eastAsia" w:ascii="宋体" w:hAnsi="宋体" w:eastAsia="宋体" w:cs="宋体"/>
          <w:b/>
          <w:bCs/>
          <w:color w:val="auto"/>
          <w:kern w:val="2"/>
          <w:sz w:val="36"/>
          <w:szCs w:val="36"/>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6837000"/>
      <w:bookmarkStart w:id="18" w:name="_Toc480462724"/>
      <w:bookmarkStart w:id="19" w:name="_Toc474920011"/>
      <w:bookmarkStart w:id="20"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7"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8E9B50A9-40ED-443D-AC8B-BC4192A7EF99}"/>
  </w:font>
  <w:font w:name="仿宋">
    <w:panose1 w:val="02010609060101010101"/>
    <w:charset w:val="86"/>
    <w:family w:val="auto"/>
    <w:pitch w:val="default"/>
    <w:sig w:usb0="800002BF" w:usb1="38CF7CFA" w:usb2="00000016" w:usb3="00000000" w:csb0="00040001" w:csb1="00000000"/>
    <w:embedRegular r:id="rId2" w:fontKey="{F31F75EB-9C53-4924-A35F-37803794CC11}"/>
  </w:font>
  <w:font w:name="微软雅黑">
    <w:panose1 w:val="020B0503020204020204"/>
    <w:charset w:val="86"/>
    <w:family w:val="auto"/>
    <w:pitch w:val="default"/>
    <w:sig w:usb0="80000287" w:usb1="280F3C52" w:usb2="00000016" w:usb3="00000000" w:csb0="0004001F" w:csb1="00000000"/>
  </w:font>
  <w:font w:name="Arial Unicode MS">
    <w:altName w:val="宋体"/>
    <w:panose1 w:val="020B0604020202020204"/>
    <w:charset w:val="86"/>
    <w:family w:val="roman"/>
    <w:pitch w:val="default"/>
    <w:sig w:usb0="00000000" w:usb1="00000000" w:usb2="0000003F" w:usb3="00000000" w:csb0="603F01FF" w:csb1="FFFF0000"/>
    <w:embedRegular r:id="rId3" w:fontKey="{8D4B0397-0334-4806-BEBE-DAF9A276C1EB}"/>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4" w:fontKey="{3AF5417A-E0D2-4B3A-9BB2-21B3C77B44D7}"/>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0FF93">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5"/>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124B7E52"/>
    <w:rsid w:val="12516798"/>
    <w:rsid w:val="13A36145"/>
    <w:rsid w:val="14006FF9"/>
    <w:rsid w:val="1673393D"/>
    <w:rsid w:val="19B141B7"/>
    <w:rsid w:val="1AEF2BB7"/>
    <w:rsid w:val="29D100AA"/>
    <w:rsid w:val="2B7B2642"/>
    <w:rsid w:val="30D675AD"/>
    <w:rsid w:val="31C33762"/>
    <w:rsid w:val="34A80A94"/>
    <w:rsid w:val="37B50D46"/>
    <w:rsid w:val="397C1A69"/>
    <w:rsid w:val="3B7579C8"/>
    <w:rsid w:val="3E374C21"/>
    <w:rsid w:val="403F7575"/>
    <w:rsid w:val="412933DD"/>
    <w:rsid w:val="43424991"/>
    <w:rsid w:val="45834DF5"/>
    <w:rsid w:val="45E14C32"/>
    <w:rsid w:val="4A537A00"/>
    <w:rsid w:val="4D496E6B"/>
    <w:rsid w:val="50B709F1"/>
    <w:rsid w:val="5C1B2DDE"/>
    <w:rsid w:val="5D747763"/>
    <w:rsid w:val="604B6F0C"/>
    <w:rsid w:val="62406095"/>
    <w:rsid w:val="672A074E"/>
    <w:rsid w:val="68107747"/>
    <w:rsid w:val="68AD4C9B"/>
    <w:rsid w:val="6A0F69AC"/>
    <w:rsid w:val="6C7B37C0"/>
    <w:rsid w:val="6CC57002"/>
    <w:rsid w:val="6D30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next w:val="3"/>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customStyle="1" w:styleId="3">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6">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7">
    <w:name w:val="toc 1"/>
    <w:basedOn w:val="1"/>
    <w:next w:val="1"/>
    <w:qFormat/>
    <w:uiPriority w:val="0"/>
  </w:style>
  <w:style w:type="paragraph" w:styleId="8">
    <w:name w:val="Normal (Web)"/>
    <w:qFormat/>
    <w:uiPriority w:val="0"/>
    <w:pPr>
      <w:framePr w:wrap="around" w:vAnchor="margin" w:hAnchor="text" w:y="1"/>
      <w:spacing w:beforeAutospacing="1" w:afterAutospacing="1"/>
    </w:pPr>
    <w:rPr>
      <w:rFonts w:ascii="Times New Roman" w:hAnsi="Times New Roman" w:eastAsia="Arial Unicode MS" w:cs="Times New Roman"/>
      <w:sz w:val="24"/>
      <w:szCs w:val="24"/>
      <w:lang w:val="en-US" w:eastAsia="zh-CN" w:bidi="ar-SA"/>
    </w:rPr>
  </w:style>
  <w:style w:type="paragraph" w:styleId="9">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2">
    <w:name w:val="Strong"/>
    <w:qFormat/>
    <w:uiPriority w:val="0"/>
    <w:rPr>
      <w:b/>
      <w:bCs/>
    </w:rPr>
  </w:style>
  <w:style w:type="character" w:styleId="13">
    <w:name w:val="page number"/>
    <w:qFormat/>
    <w:uiPriority w:val="0"/>
  </w:style>
  <w:style w:type="character" w:customStyle="1" w:styleId="14">
    <w:name w:val="font121"/>
    <w:basedOn w:val="11"/>
    <w:qFormat/>
    <w:uiPriority w:val="0"/>
    <w:rPr>
      <w:rFonts w:hint="eastAsia" w:ascii="宋体" w:hAnsi="宋体" w:eastAsia="宋体" w:cs="宋体"/>
      <w:color w:val="000000"/>
      <w:sz w:val="28"/>
      <w:szCs w:val="28"/>
      <w:u w:val="none"/>
    </w:rPr>
  </w:style>
  <w:style w:type="character" w:customStyle="1" w:styleId="15">
    <w:name w:val="font31"/>
    <w:basedOn w:val="11"/>
    <w:qFormat/>
    <w:uiPriority w:val="0"/>
    <w:rPr>
      <w:rFonts w:hint="eastAsia" w:ascii="宋体" w:hAnsi="宋体" w:eastAsia="宋体" w:cs="宋体"/>
      <w:b/>
      <w:bCs/>
      <w:color w:val="000000"/>
      <w:sz w:val="48"/>
      <w:szCs w:val="48"/>
      <w:u w:val="none"/>
    </w:rPr>
  </w:style>
  <w:style w:type="character" w:customStyle="1" w:styleId="16">
    <w:name w:val="font112"/>
    <w:basedOn w:val="11"/>
    <w:qFormat/>
    <w:uiPriority w:val="0"/>
    <w:rPr>
      <w:rFonts w:hint="eastAsia" w:ascii="宋体" w:hAnsi="宋体" w:eastAsia="宋体" w:cs="宋体"/>
      <w:color w:val="000000"/>
      <w:sz w:val="28"/>
      <w:szCs w:val="28"/>
      <w:u w:val="none"/>
    </w:rPr>
  </w:style>
  <w:style w:type="character" w:customStyle="1" w:styleId="17">
    <w:name w:val="font101"/>
    <w:basedOn w:val="11"/>
    <w:qFormat/>
    <w:uiPriority w:val="0"/>
    <w:rPr>
      <w:rFonts w:hint="eastAsia" w:ascii="宋体" w:hAnsi="宋体" w:eastAsia="宋体" w:cs="宋体"/>
      <w:color w:val="000000"/>
      <w:sz w:val="28"/>
      <w:szCs w:val="28"/>
      <w:u w:val="none"/>
    </w:rPr>
  </w:style>
  <w:style w:type="character" w:customStyle="1" w:styleId="18">
    <w:name w:val="font21"/>
    <w:basedOn w:val="11"/>
    <w:qFormat/>
    <w:uiPriority w:val="0"/>
    <w:rPr>
      <w:rFonts w:hint="eastAsia" w:ascii="宋体" w:hAnsi="宋体" w:eastAsia="宋体" w:cs="宋体"/>
      <w:color w:val="000000"/>
      <w:sz w:val="24"/>
      <w:szCs w:val="24"/>
      <w:u w:val="none"/>
    </w:rPr>
  </w:style>
  <w:style w:type="character" w:customStyle="1" w:styleId="19">
    <w:name w:val="font91"/>
    <w:basedOn w:val="11"/>
    <w:qFormat/>
    <w:uiPriority w:val="0"/>
    <w:rPr>
      <w:rFonts w:hint="eastAsia" w:ascii="宋体" w:hAnsi="宋体" w:eastAsia="宋体" w:cs="宋体"/>
      <w:b/>
      <w:bCs/>
      <w:color w:val="000000"/>
      <w:sz w:val="40"/>
      <w:szCs w:val="40"/>
      <w:u w:val="none"/>
    </w:rPr>
  </w:style>
  <w:style w:type="character" w:customStyle="1" w:styleId="20">
    <w:name w:val="font51"/>
    <w:basedOn w:val="11"/>
    <w:qFormat/>
    <w:uiPriority w:val="0"/>
    <w:rPr>
      <w:rFonts w:hint="eastAsia" w:ascii="宋体" w:hAnsi="宋体" w:eastAsia="宋体" w:cs="宋体"/>
      <w:b/>
      <w:bCs/>
      <w:color w:val="000000"/>
      <w:sz w:val="20"/>
      <w:szCs w:val="20"/>
      <w:u w:val="none"/>
    </w:rPr>
  </w:style>
  <w:style w:type="character" w:customStyle="1" w:styleId="21">
    <w:name w:val="font81"/>
    <w:qFormat/>
    <w:uiPriority w:val="0"/>
    <w:rPr>
      <w:rFonts w:hint="eastAsia" w:ascii="宋体" w:hAnsi="宋体" w:eastAsia="宋体" w:cs="宋体"/>
      <w:color w:val="000000"/>
      <w:sz w:val="24"/>
      <w:szCs w:val="24"/>
      <w:u w:val="none"/>
    </w:rPr>
  </w:style>
  <w:style w:type="character" w:customStyle="1" w:styleId="22">
    <w:name w:val="font131"/>
    <w:basedOn w:val="11"/>
    <w:qFormat/>
    <w:uiPriority w:val="0"/>
    <w:rPr>
      <w:rFonts w:hint="eastAsia" w:ascii="仿宋" w:hAnsi="仿宋" w:eastAsia="仿宋" w:cs="仿宋"/>
      <w:color w:val="000000"/>
      <w:sz w:val="24"/>
      <w:szCs w:val="24"/>
      <w:u w:val="single"/>
    </w:rPr>
  </w:style>
  <w:style w:type="character" w:customStyle="1" w:styleId="23">
    <w:name w:val="font61"/>
    <w:basedOn w:val="11"/>
    <w:qFormat/>
    <w:uiPriority w:val="0"/>
    <w:rPr>
      <w:rFonts w:hint="eastAsia" w:ascii="仿宋" w:hAnsi="仿宋" w:eastAsia="仿宋" w:cs="仿宋"/>
      <w:color w:val="000000"/>
      <w:sz w:val="24"/>
      <w:szCs w:val="24"/>
      <w:u w:val="none"/>
    </w:rPr>
  </w:style>
  <w:style w:type="character" w:customStyle="1" w:styleId="24">
    <w:name w:val="font122"/>
    <w:basedOn w:val="11"/>
    <w:qFormat/>
    <w:uiPriority w:val="0"/>
    <w:rPr>
      <w:rFonts w:hint="eastAsia" w:ascii="仿宋" w:hAnsi="仿宋" w:eastAsia="仿宋" w:cs="仿宋"/>
      <w:color w:val="000000"/>
      <w:sz w:val="24"/>
      <w:szCs w:val="24"/>
      <w:u w:val="single"/>
    </w:rPr>
  </w:style>
  <w:style w:type="character" w:customStyle="1" w:styleId="25">
    <w:name w:val="font141"/>
    <w:basedOn w:val="11"/>
    <w:qFormat/>
    <w:uiPriority w:val="0"/>
    <w:rPr>
      <w:rFonts w:hint="eastAsia" w:ascii="仿宋" w:hAnsi="仿宋" w:eastAsia="仿宋" w:cs="仿宋"/>
      <w:color w:val="000000"/>
      <w:sz w:val="24"/>
      <w:szCs w:val="24"/>
      <w:u w:val="single"/>
    </w:rPr>
  </w:style>
  <w:style w:type="paragraph" w:customStyle="1" w:styleId="26">
    <w:name w:val="BodyText1I2"/>
    <w:next w:val="1"/>
    <w:autoRedefine/>
    <w:qFormat/>
    <w:uiPriority w:val="0"/>
    <w:pPr>
      <w:framePr w:wrap="around" w:vAnchor="margin" w:hAnchor="text" w:y="1"/>
      <w:widowControl/>
      <w:spacing w:line="357" w:lineRule="atLeast"/>
      <w:ind w:firstLine="525"/>
      <w:textAlignment w:val="baseline"/>
    </w:pPr>
    <w:rPr>
      <w:rFonts w:ascii="Times New Roman" w:hAnsi="Calibri" w:eastAsia="Times New Roman" w:cs="Times New Roman"/>
      <w:color w:val="000000"/>
      <w:sz w:val="28"/>
      <w:szCs w:val="22"/>
      <w:lang w:val="en-US" w:eastAsia="en-US" w:bidi="ar-SA"/>
    </w:rPr>
  </w:style>
  <w:style w:type="paragraph" w:customStyle="1" w:styleId="27">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lang w:val="en-US" w:eastAsia="zh-CN" w:bidi="ar-SA"/>
    </w:rPr>
  </w:style>
  <w:style w:type="character" w:customStyle="1" w:styleId="28">
    <w:name w:val="font41"/>
    <w:basedOn w:val="11"/>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1326</Words>
  <Characters>1519</Characters>
  <Lines>0</Lines>
  <Paragraphs>0</Paragraphs>
  <TotalTime>1</TotalTime>
  <ScaleCrop>false</ScaleCrop>
  <LinksUpToDate>false</LinksUpToDate>
  <CharactersWithSpaces>1559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2026-01-28T09:04:23Z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98918E406B444B26BD6490DFB39F9D2D_13</vt:lpwstr>
  </property>
  <property fmtid="{D5CDD505-2E9C-101B-9397-08002B2CF9AE}" pid="4" name="KSOTemplateDocerSaveRecord">
    <vt:lpwstr>eyJoZGlkIjoiZTcwNDdlYTI1OTFhMDMyZjIzNDQ4NGFmYzk0ZjJkYmQiLCJ1c2VySWQiOiIxNjY4MjkxOTUwIn0=</vt:lpwstr>
  </property>
</Properties>
</file>