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56"/>
          <w:szCs w:val="56"/>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惠东县平海镇城镇污水管网及雨污分流建设工程一惠东县平海镇城镇雨污分流建设工程(二期)施工</w:t>
      </w:r>
    </w:p>
    <w:p w14:paraId="456DBC29">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（编号01号）施工劳务合作（道路工程、交通工程、土方工程、排水工程、污水工程、雨水工程、恢复工程劳务分包）</w:t>
      </w:r>
    </w:p>
    <w:p w14:paraId="75F5232A">
      <w:pPr>
        <w:widowControl w:val="0"/>
        <w:wordWrap w:val="0"/>
        <w:spacing w:line="288" w:lineRule="auto"/>
        <w:jc w:val="center"/>
        <w:rPr>
          <w:rFonts w:hint="eastAsia" w:ascii="宋体" w:hAnsi="宋体" w:eastAsia="宋体" w:cs="宋体"/>
          <w:b/>
          <w:color w:val="auto"/>
          <w:kern w:val="0"/>
          <w:sz w:val="44"/>
          <w:szCs w:val="44"/>
          <w:highlight w:val="none"/>
          <w:u w:val="none"/>
          <w:lang w:eastAsia="zh-CN"/>
        </w:rPr>
      </w:pPr>
      <w:r>
        <w:rPr>
          <w:rFonts w:hint="eastAsia" w:ascii="宋体" w:hAnsi="宋体" w:eastAsia="宋体" w:cs="宋体"/>
          <w:b/>
          <w:color w:val="auto"/>
          <w:kern w:val="0"/>
          <w:sz w:val="44"/>
          <w:szCs w:val="44"/>
          <w:highlight w:val="none"/>
          <w:u w:val="none"/>
          <w:lang w:val="en-US" w:eastAsia="zh-CN"/>
        </w:rPr>
        <w:t>竞价</w:t>
      </w:r>
      <w:r>
        <w:rPr>
          <w:rFonts w:hint="eastAsia" w:ascii="宋体" w:hAnsi="宋体" w:eastAsia="宋体" w:cs="宋体"/>
          <w:b/>
          <w:color w:val="auto"/>
          <w:kern w:val="0"/>
          <w:sz w:val="44"/>
          <w:szCs w:val="44"/>
          <w:highlight w:val="none"/>
          <w:u w:val="none"/>
          <w:lang w:eastAsia="zh-CN"/>
        </w:rPr>
        <w:t>文件</w:t>
      </w:r>
    </w:p>
    <w:p w14:paraId="4B3D5ED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4B751C6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2F3F4CE3">
      <w:pPr>
        <w:spacing w:line="560" w:lineRule="exact"/>
        <w:ind w:firstLine="561"/>
        <w:rPr>
          <w:rFonts w:hint="eastAsia" w:ascii="宋体" w:hAnsi="宋体" w:eastAsia="宋体" w:cs="宋体"/>
          <w:color w:val="auto"/>
          <w:sz w:val="36"/>
          <w:szCs w:val="36"/>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6"/>
          <w:szCs w:val="36"/>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36"/>
          <w:szCs w:val="36"/>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2025年12月16日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45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46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56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bookmarkStart w:id="21" w:name="_GoBack"/>
      <w:bookmarkEnd w:id="21"/>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2D21037">
      <w:pPr>
        <w:keepNext w:val="0"/>
        <w:keepLines w:val="0"/>
        <w:pageBreakBefore w:val="0"/>
        <w:widowControl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bookmarkStart w:id="1" w:name="_Toc16780"/>
      <w:bookmarkStart w:id="2" w:name="_Toc144974496"/>
      <w:bookmarkStart w:id="3" w:name="_Toc152045528"/>
      <w:bookmarkStart w:id="4" w:name="_Toc229646710"/>
      <w:bookmarkStart w:id="5" w:name="_Toc16761"/>
      <w:bookmarkStart w:id="6" w:name="_Toc7164"/>
      <w:bookmarkStart w:id="7" w:name="_Toc152042304"/>
      <w:bookmarkStart w:id="8" w:name="_Toc500491903"/>
      <w:bookmarkStart w:id="9" w:name="_Toc31806"/>
      <w:bookmarkStart w:id="10" w:name="_Toc392345907"/>
      <w:bookmarkStart w:id="11" w:name="_Toc21380"/>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平海镇城镇污水管网及雨污分流建设工程一惠东县平海镇城镇雨污分流建设工程(二期)施工（编号01号）施工劳务合作（道路工程、交通工程、土方工程、排水工程、污水工程、雨水工程、恢复工程劳务分包）</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惠东县平海镇城镇雨污分流建设工程(二期)新建 DN200～DN600 污水驳接管道约 76.44km,新建 DN300～DN1200 雨水管道约 9.01km,新建污水压力管道 DN160～DN300mm 长约1.36km；新建一体化污水提升泵井 50m³/d 一座、300m³/d 一座；现状合流管渠清淤约9.19km 及其配套检查井、路面破除及修复合计约 139883m²,道路沥青罩面(包括 S259、金袋街、包公巷等镇街主要道路）合计约 37904m²。</w:t>
      </w:r>
    </w:p>
    <w:p w14:paraId="0A5EC38C">
      <w:pPr>
        <w:pStyle w:val="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承包人现场施工所需的施工劳务合作（道路工程、交通工程、土方工程、排水工程、污水工程、雨水工程、恢复工程劳务分包）</w:t>
      </w:r>
    </w:p>
    <w:p w14:paraId="537480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eastAsia="en-US"/>
        </w:rPr>
        <w:t>三、</w:t>
      </w:r>
      <w:r>
        <w:rPr>
          <w:rFonts w:hint="eastAsia" w:ascii="宋体" w:hAnsi="宋体" w:eastAsia="宋体" w:cs="宋体"/>
          <w:b/>
          <w:i w:val="0"/>
          <w:iCs w:val="0"/>
          <w:caps w:val="0"/>
          <w:color w:val="auto"/>
          <w:spacing w:val="0"/>
          <w:sz w:val="28"/>
          <w:szCs w:val="28"/>
          <w:highlight w:val="none"/>
          <w:u w:val="none"/>
          <w:shd w:val="clear" w:fill="FFFFFF"/>
          <w:lang w:eastAsia="zh-CN"/>
        </w:rPr>
        <w:t>参选人</w:t>
      </w:r>
      <w:r>
        <w:rPr>
          <w:rFonts w:hint="eastAsia" w:ascii="宋体" w:hAnsi="宋体" w:eastAsia="宋体" w:cs="宋体"/>
          <w:b/>
          <w:i w:val="0"/>
          <w:iCs w:val="0"/>
          <w:caps w:val="0"/>
          <w:color w:val="auto"/>
          <w:spacing w:val="0"/>
          <w:sz w:val="28"/>
          <w:szCs w:val="28"/>
          <w:highlight w:val="none"/>
          <w:u w:val="none"/>
          <w:shd w:val="clear" w:fill="FFFFFF"/>
          <w:lang w:eastAsia="en-US"/>
        </w:rPr>
        <w:t>资格要求</w:t>
      </w:r>
    </w:p>
    <w:p w14:paraId="0516871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：2025年12月22日12:00。</w:t>
      </w:r>
    </w:p>
    <w:p w14:paraId="3A816B3A">
      <w:pPr>
        <w:framePr w:wrap="around" w:vAnchor="margin" w:hAnchor="page" w:x="1358" w:y="1"/>
        <w:widowControl/>
        <w:jc w:val="left"/>
        <w:rPr>
          <w:rFonts w:ascii="Times New Roman" w:hAnsi="Times New Roman" w:eastAsia="Arial Unicode MS" w:cs="Times New Roman"/>
          <w:kern w:val="0"/>
          <w:sz w:val="24"/>
          <w:lang w:eastAsia="en-US"/>
        </w:rPr>
      </w:pPr>
    </w:p>
    <w:p w14:paraId="3640B882">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6BD855C">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公告发布时间：2025年12月16日</w:t>
      </w:r>
    </w:p>
    <w:p w14:paraId="687C0335">
      <w:pPr>
        <w:widowControl/>
        <w:jc w:val="left"/>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10"/>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29"/>
        <w:gridCol w:w="5942"/>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0"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9"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0"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9"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0"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9"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平海镇城镇污水管网及雨污分流建设工程一惠东县平海镇城镇雨污分流建设工程(二期)施工（编号01号）施工劳务合作（道路工程、交通工程、土方工程、排水工程、污水工程、雨水工程、恢复工程劳务分包）</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0"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9"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承包人现场施工所需的施工劳务合作（道路工程、交通工程、土方工程、排水工程、污水工程、雨水工程、恢复工程劳务分包）</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0"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9"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12月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19"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9" w:type="pct"/>
            <w:noWrap w:val="0"/>
            <w:vAlign w:val="center"/>
          </w:tcPr>
          <w:p w14:paraId="6E3A56F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4"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19"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9"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19"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9"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19"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9"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19"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9"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19"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9"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2025年12月22日12:00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19"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9"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19"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9"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19"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9"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19"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9"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19"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9"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19"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9"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19"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9"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19"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9"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19"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9"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19"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9"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19"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9"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19"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9"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19"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9"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19"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9"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19"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9"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19"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9"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19"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9"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平海镇城镇污水管网及雨污分流建设工程一惠东县平海镇城镇雨污分流建设工程(二期)施工（编号01号）施工劳务合作（道路工程、交通工程、土方工程、排水工程、污水工程、雨水工程、恢复工程劳务分包）</w:t>
      </w:r>
    </w:p>
    <w:tbl>
      <w:tblPr>
        <w:tblStyle w:val="1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58F89EA1">
      <w:pPr>
        <w:rPr>
          <w:rFonts w:hint="eastAsia" w:ascii="宋体" w:hAnsi="宋体" w:eastAsia="宋体" w:cs="宋体"/>
          <w:color w:val="auto"/>
          <w:sz w:val="20"/>
          <w:szCs w:val="20"/>
          <w:highlight w:val="none"/>
          <w:lang w:eastAsia="zh-CN"/>
        </w:rPr>
      </w:pPr>
    </w:p>
    <w:tbl>
      <w:tblPr>
        <w:tblW w:w="99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33"/>
        <w:gridCol w:w="1253"/>
        <w:gridCol w:w="2074"/>
        <w:gridCol w:w="592"/>
        <w:gridCol w:w="1437"/>
        <w:gridCol w:w="1094"/>
        <w:gridCol w:w="1157"/>
        <w:gridCol w:w="1680"/>
      </w:tblGrid>
      <w:tr w14:paraId="2B02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3"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43B7C82">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施工劳务合作 （道路工程、交通工程、土方工程、排水工程、污水工程、雨水工程、恢复工程劳务分包）报价单</w:t>
            </w:r>
          </w:p>
        </w:tc>
      </w:tr>
      <w:tr w14:paraId="33118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633" w:type="dxa"/>
            <w:vMerge w:val="restart"/>
            <w:tcBorders>
              <w:top w:val="single" w:color="000000" w:sz="4" w:space="0"/>
              <w:left w:val="single" w:color="000000" w:sz="4" w:space="0"/>
              <w:bottom w:val="single" w:color="000000" w:sz="4" w:space="0"/>
              <w:right w:val="single" w:color="000000" w:sz="4" w:space="0"/>
            </w:tcBorders>
            <w:shd w:val="clear"/>
            <w:vAlign w:val="center"/>
          </w:tcPr>
          <w:p w14:paraId="3E2D194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询价方</w:t>
            </w:r>
          </w:p>
        </w:tc>
        <w:tc>
          <w:tcPr>
            <w:tcW w:w="3327" w:type="dxa"/>
            <w:gridSpan w:val="2"/>
            <w:tcBorders>
              <w:top w:val="single" w:color="000000" w:sz="4" w:space="0"/>
              <w:left w:val="single" w:color="000000" w:sz="4" w:space="0"/>
              <w:bottom w:val="single" w:color="000000" w:sz="4" w:space="0"/>
              <w:right w:val="single" w:color="000000" w:sz="4" w:space="0"/>
            </w:tcBorders>
            <w:shd w:val="clear"/>
            <w:vAlign w:val="center"/>
          </w:tcPr>
          <w:p w14:paraId="6B07716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询价单位：广东路通达建设工程有限公司</w:t>
            </w:r>
          </w:p>
        </w:tc>
        <w:tc>
          <w:tcPr>
            <w:tcW w:w="592" w:type="dxa"/>
            <w:vMerge w:val="restart"/>
            <w:tcBorders>
              <w:top w:val="single" w:color="000000" w:sz="4" w:space="0"/>
              <w:left w:val="single" w:color="000000" w:sz="4" w:space="0"/>
              <w:bottom w:val="single" w:color="000000" w:sz="4" w:space="0"/>
              <w:right w:val="single" w:color="000000" w:sz="4" w:space="0"/>
            </w:tcBorders>
            <w:shd w:val="clear"/>
            <w:vAlign w:val="center"/>
          </w:tcPr>
          <w:p w14:paraId="0CBF035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 xml:space="preserve">报价方 </w:t>
            </w:r>
          </w:p>
        </w:tc>
        <w:tc>
          <w:tcPr>
            <w:tcW w:w="5368" w:type="dxa"/>
            <w:gridSpan w:val="4"/>
            <w:vMerge w:val="restart"/>
            <w:tcBorders>
              <w:top w:val="single" w:color="000000" w:sz="4" w:space="0"/>
              <w:left w:val="single" w:color="000000" w:sz="4" w:space="0"/>
              <w:bottom w:val="single" w:color="000000" w:sz="4" w:space="0"/>
              <w:right w:val="single" w:color="000000" w:sz="4" w:space="0"/>
            </w:tcBorders>
            <w:shd w:val="clear"/>
            <w:vAlign w:val="center"/>
          </w:tcPr>
          <w:p w14:paraId="1137466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报价单位： </w:t>
            </w:r>
          </w:p>
        </w:tc>
      </w:tr>
      <w:tr w14:paraId="7C0D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964F78">
            <w:pPr>
              <w:jc w:val="center"/>
              <w:rPr>
                <w:rFonts w:hint="eastAsia" w:ascii="宋体" w:hAnsi="宋体" w:eastAsia="宋体" w:cs="宋体"/>
                <w:b/>
                <w:bCs/>
                <w:i w:val="0"/>
                <w:iCs w:val="0"/>
                <w:color w:val="000000"/>
                <w:sz w:val="28"/>
                <w:szCs w:val="28"/>
                <w:u w:val="none"/>
              </w:rPr>
            </w:pPr>
          </w:p>
        </w:tc>
        <w:tc>
          <w:tcPr>
            <w:tcW w:w="3327"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5D0ED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项目名称：惠东县平海镇城镇污水管网及雨污分流建设工程一惠东县平海镇城镇雨污分流建设工程(二期)施工</w:t>
            </w:r>
          </w:p>
        </w:tc>
        <w:tc>
          <w:tcPr>
            <w:tcW w:w="59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35A1A3D">
            <w:pPr>
              <w:jc w:val="center"/>
              <w:rPr>
                <w:rFonts w:hint="eastAsia" w:ascii="宋体" w:hAnsi="宋体" w:eastAsia="宋体" w:cs="宋体"/>
                <w:b/>
                <w:bCs/>
                <w:i w:val="0"/>
                <w:iCs w:val="0"/>
                <w:color w:val="000000"/>
                <w:sz w:val="28"/>
                <w:szCs w:val="28"/>
                <w:u w:val="none"/>
              </w:rPr>
            </w:pPr>
          </w:p>
        </w:tc>
        <w:tc>
          <w:tcPr>
            <w:tcW w:w="5368" w:type="dxa"/>
            <w:gridSpan w:val="4"/>
            <w:vMerge w:val="continue"/>
            <w:tcBorders>
              <w:top w:val="single" w:color="000000" w:sz="4" w:space="0"/>
              <w:left w:val="single" w:color="000000" w:sz="4" w:space="0"/>
              <w:bottom w:val="single" w:color="000000" w:sz="4" w:space="0"/>
              <w:right w:val="single" w:color="000000" w:sz="4" w:space="0"/>
            </w:tcBorders>
            <w:shd w:val="clear"/>
            <w:vAlign w:val="center"/>
          </w:tcPr>
          <w:p w14:paraId="2098DC4B">
            <w:pPr>
              <w:jc w:val="left"/>
              <w:rPr>
                <w:rFonts w:hint="eastAsia" w:ascii="宋体" w:hAnsi="宋体" w:eastAsia="宋体" w:cs="宋体"/>
                <w:i w:val="0"/>
                <w:iCs w:val="0"/>
                <w:color w:val="000000"/>
                <w:sz w:val="28"/>
                <w:szCs w:val="28"/>
                <w:u w:val="none"/>
              </w:rPr>
            </w:pPr>
          </w:p>
        </w:tc>
      </w:tr>
      <w:tr w14:paraId="4CCE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D8DE2D">
            <w:pPr>
              <w:jc w:val="center"/>
              <w:rPr>
                <w:rFonts w:hint="eastAsia" w:ascii="宋体" w:hAnsi="宋体" w:eastAsia="宋体" w:cs="宋体"/>
                <w:b/>
                <w:bCs/>
                <w:i w:val="0"/>
                <w:iCs w:val="0"/>
                <w:color w:val="000000"/>
                <w:sz w:val="28"/>
                <w:szCs w:val="28"/>
                <w:u w:val="none"/>
              </w:rPr>
            </w:pPr>
          </w:p>
        </w:tc>
        <w:tc>
          <w:tcPr>
            <w:tcW w:w="3327"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5B66EAF">
            <w:pPr>
              <w:jc w:val="center"/>
              <w:rPr>
                <w:rFonts w:hint="eastAsia" w:ascii="宋体" w:hAnsi="宋体" w:eastAsia="宋体" w:cs="宋体"/>
                <w:i w:val="0"/>
                <w:iCs w:val="0"/>
                <w:color w:val="000000"/>
                <w:sz w:val="28"/>
                <w:szCs w:val="28"/>
                <w:u w:val="none"/>
              </w:rPr>
            </w:pPr>
          </w:p>
        </w:tc>
        <w:tc>
          <w:tcPr>
            <w:tcW w:w="59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C3324A">
            <w:pPr>
              <w:jc w:val="center"/>
              <w:rPr>
                <w:rFonts w:hint="eastAsia" w:ascii="宋体" w:hAnsi="宋体" w:eastAsia="宋体" w:cs="宋体"/>
                <w:b/>
                <w:bCs/>
                <w:i w:val="0"/>
                <w:iCs w:val="0"/>
                <w:color w:val="000000"/>
                <w:sz w:val="28"/>
                <w:szCs w:val="28"/>
                <w:u w:val="none"/>
              </w:rPr>
            </w:pPr>
          </w:p>
        </w:tc>
        <w:tc>
          <w:tcPr>
            <w:tcW w:w="5368" w:type="dxa"/>
            <w:gridSpan w:val="4"/>
            <w:tcBorders>
              <w:top w:val="single" w:color="000000" w:sz="4" w:space="0"/>
              <w:left w:val="single" w:color="000000" w:sz="4" w:space="0"/>
              <w:bottom w:val="single" w:color="000000" w:sz="4" w:space="0"/>
              <w:right w:val="single" w:color="000000" w:sz="4" w:space="0"/>
            </w:tcBorders>
            <w:shd w:val="clear"/>
            <w:vAlign w:val="center"/>
          </w:tcPr>
          <w:p w14:paraId="37208F1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报价人： </w:t>
            </w:r>
          </w:p>
        </w:tc>
      </w:tr>
      <w:tr w14:paraId="34F2A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685FBB">
            <w:pPr>
              <w:jc w:val="center"/>
              <w:rPr>
                <w:rFonts w:hint="eastAsia" w:ascii="宋体" w:hAnsi="宋体" w:eastAsia="宋体" w:cs="宋体"/>
                <w:b/>
                <w:bCs/>
                <w:i w:val="0"/>
                <w:iCs w:val="0"/>
                <w:color w:val="000000"/>
                <w:sz w:val="28"/>
                <w:szCs w:val="28"/>
                <w:u w:val="none"/>
              </w:rPr>
            </w:pPr>
          </w:p>
        </w:tc>
        <w:tc>
          <w:tcPr>
            <w:tcW w:w="3327"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A944C5B">
            <w:pPr>
              <w:jc w:val="center"/>
              <w:rPr>
                <w:rFonts w:hint="eastAsia" w:ascii="宋体" w:hAnsi="宋体" w:eastAsia="宋体" w:cs="宋体"/>
                <w:i w:val="0"/>
                <w:iCs w:val="0"/>
                <w:color w:val="000000"/>
                <w:sz w:val="28"/>
                <w:szCs w:val="28"/>
                <w:u w:val="none"/>
              </w:rPr>
            </w:pPr>
          </w:p>
        </w:tc>
        <w:tc>
          <w:tcPr>
            <w:tcW w:w="59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AB8A4B">
            <w:pPr>
              <w:jc w:val="center"/>
              <w:rPr>
                <w:rFonts w:hint="eastAsia" w:ascii="宋体" w:hAnsi="宋体" w:eastAsia="宋体" w:cs="宋体"/>
                <w:b/>
                <w:bCs/>
                <w:i w:val="0"/>
                <w:iCs w:val="0"/>
                <w:color w:val="000000"/>
                <w:sz w:val="28"/>
                <w:szCs w:val="28"/>
                <w:u w:val="none"/>
              </w:rPr>
            </w:pPr>
          </w:p>
        </w:tc>
        <w:tc>
          <w:tcPr>
            <w:tcW w:w="5368" w:type="dxa"/>
            <w:gridSpan w:val="4"/>
            <w:tcBorders>
              <w:top w:val="single" w:color="000000" w:sz="4" w:space="0"/>
              <w:left w:val="single" w:color="000000" w:sz="4" w:space="0"/>
              <w:bottom w:val="single" w:color="000000" w:sz="4" w:space="0"/>
              <w:right w:val="single" w:color="000000" w:sz="4" w:space="0"/>
            </w:tcBorders>
            <w:shd w:val="clear"/>
            <w:vAlign w:val="center"/>
          </w:tcPr>
          <w:p w14:paraId="30388CE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联系电话： </w:t>
            </w:r>
          </w:p>
        </w:tc>
      </w:tr>
      <w:tr w14:paraId="57CC7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noWrap/>
            <w:vAlign w:val="center"/>
          </w:tcPr>
          <w:p w14:paraId="30AAA87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以下为我公司对贵公司所需产品的工程优惠报价：</w:t>
            </w:r>
          </w:p>
        </w:tc>
      </w:tr>
      <w:tr w14:paraId="16C25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5BB4E1E">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序号</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1B62B53">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名称</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6519C8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特征描述</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8660AF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单位</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B7446A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数量</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1910F7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 xml:space="preserve">不含税单价 </w:t>
            </w:r>
          </w:p>
        </w:tc>
        <w:tc>
          <w:tcPr>
            <w:tcW w:w="1157" w:type="dxa"/>
            <w:tcBorders>
              <w:top w:val="single" w:color="000000" w:sz="4" w:space="0"/>
              <w:left w:val="single" w:color="000000" w:sz="4" w:space="0"/>
              <w:bottom w:val="single" w:color="000000" w:sz="4" w:space="0"/>
              <w:right w:val="single" w:color="000000" w:sz="4" w:space="0"/>
            </w:tcBorders>
            <w:shd w:val="clear"/>
            <w:vAlign w:val="center"/>
          </w:tcPr>
          <w:p w14:paraId="0F2876F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 xml:space="preserve">金额（元） </w:t>
            </w: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8C7362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备注</w:t>
            </w:r>
          </w:p>
        </w:tc>
      </w:tr>
      <w:tr w14:paraId="64AD4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346E4C0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S259道路交通工程</w:t>
            </w:r>
          </w:p>
        </w:tc>
      </w:tr>
      <w:tr w14:paraId="2A0F8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32907FA5">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道路工程</w:t>
            </w:r>
          </w:p>
        </w:tc>
      </w:tr>
      <w:tr w14:paraId="4C4B6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3E312C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E0170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7cm厚细粒式SBS改性沥青砼AC-13C</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F05023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1、沥青混凝土种类:细粒式沥青混凝土上面层(AC-13C)</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2、厚度:70mm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0A7D3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AC6998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29510.60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B85F3B2">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E46598E">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B06842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3BFF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D0A1DC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D5021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PC-3乳化沥青粘结层（0.6L/m2）</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D7094C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1、材料品种:PC-3乳化沥青</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2、喷油量:0.6L/m2</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C523A7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14B42E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29510.60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6ED72D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36D2D5F">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E98146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62AE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461396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C49AB5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2cm高粘高弹改性沥青应力吸收层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2CA12B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1.沥青品种:SBS改性同步沥青碎石应力吸收层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119FBF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CE70C6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29510.60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3E451A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24618C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50F57D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CB67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A51E7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68D59D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铣刨现状沥青路面</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2284B0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1、材质:沥青路面</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2、厚度:70mm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3、弃置运距：根据施工现场实际情况综合考虑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A65CC8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F93F2A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26838.24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CE5CB1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2AFE1A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96C06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A715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D08DB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B9120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铣刨现状水泥砼路面</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787A4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3、弃置运距：根据施工现场实际情况综合考虑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52762F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15F70E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2607.51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62B2185">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5F3C36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41EF4A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22D4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BBC621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4ECCFC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拆除混凝土路面及基层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E30A23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1、材质:水泥混凝土路面基层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2、厚度:45cm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EFEADA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229724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941.00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B9F0854">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3D204A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E58F41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FF14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4682AC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85B64A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25cm厚C35水泥砼（fr≥4.5mpa）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FB107B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1、混凝土强度等级:C35商品混凝土（抗折砼）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2、厚度:25cm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E396DC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B03A75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941.00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D91F77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C9A587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860875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172C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52A330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9738B6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20cm厚C20素砼</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93A776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1、混凝土强度等级:C20商品混凝土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2350E1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F96672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941.00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EC5D83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705B4A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B8A8E8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E5B7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6A5E47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2952C7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植筋</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F25EDE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1、材料种类:HRB400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2、材料规格:Ф25mm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3、植入深度:350mm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B1489C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根</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5BD817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2291.00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DFE5E68">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96C187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98DC28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0AB9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7537C2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3D9843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水泥混凝土路面钢筋 构造筋</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3F959F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1、水泥混凝土路面钢筋 构造筋</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5787C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t</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A5C22E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6.18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59C2C7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65A0F36">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39BA23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B611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058FC13F">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交通工程</w:t>
            </w:r>
          </w:p>
        </w:tc>
      </w:tr>
      <w:tr w14:paraId="6AAC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86C63A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CDA8FF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标线2mm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1173D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1.材料品种:热熔型反光环保涂料</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2.类型:线宽150mm、线厚2mm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D47395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6CF22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1742.99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DA4F5D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9C25D2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809E06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1A48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8A02B2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F8B029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标线4mm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4ABDCB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1.材料品种:热熔型反光环保涂料</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2.类型:线宽400mm、线厚4mm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C6441E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DEFC17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381.93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7F6CFE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53EC1E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CCF7C0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14E7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E9F916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D9CFBF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标记4mm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9C63B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1.材料品种:热熔型反光环保涂料</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2.规格尺寸:长3m 线厚2mm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B618A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082059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145.31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6E6FB92">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8ED5FF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31CF88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1BA6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FDB583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B65085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标记4mm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1634FC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1.材料品种:热熔型反光环保涂料</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2.规格尺寸:长3m 线厚2mm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55D47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49D13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28.76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74995D6">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5C8EE8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665EB6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A5CB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5DAB30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057E7B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减速线6mm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B6C7F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1.材料品种:热熔型反光环保涂料</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2.类型:线宽450mm、线厚6mm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CADC53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6A548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242.57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32B632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0328400">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0D51EA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5721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6DE6E664">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现状设施加固</w:t>
            </w:r>
          </w:p>
        </w:tc>
      </w:tr>
      <w:tr w14:paraId="140C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C9580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896875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加固现状雨水口</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836531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1、C30井圈凿除、恢复</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2、井筒、井盖、井圈材质及规格:750*500铸铁平篦D400</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6B8BA1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9D7B6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92.00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FDE453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56E3AB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8E2CFD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D292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3D950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D8578F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加固现状检查井</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046FE3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1、C30井圈凿除、恢复</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2、井筒、井盖、井圈材质及规格:球墨铸铁防沉降井盖带防坠网Φ700mm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6BA1A2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83FDD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26.00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1CDC90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C64DC8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F37649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BDF3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2DE3AA8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措施项目</w:t>
            </w:r>
          </w:p>
        </w:tc>
      </w:tr>
      <w:tr w14:paraId="6483F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92038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819B5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单柱双圆标志牌</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2FBA2F7">
            <w:pPr>
              <w:jc w:val="center"/>
              <w:rPr>
                <w:rFonts w:hint="eastAsia" w:ascii="宋体" w:hAnsi="宋体" w:eastAsia="宋体" w:cs="宋体"/>
                <w:i w:val="0"/>
                <w:iCs w:val="0"/>
                <w:color w:val="000000"/>
                <w:sz w:val="28"/>
                <w:szCs w:val="28"/>
                <w:u w:val="none"/>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DC3B61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块</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D0D4D2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28.00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08A67E3">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495CDE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AE5B93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BEC9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727E72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688F3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警示灯</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1D275DC">
            <w:pPr>
              <w:jc w:val="center"/>
              <w:rPr>
                <w:rFonts w:hint="eastAsia" w:ascii="宋体" w:hAnsi="宋体" w:eastAsia="宋体" w:cs="宋体"/>
                <w:i w:val="0"/>
                <w:iCs w:val="0"/>
                <w:color w:val="000000"/>
                <w:sz w:val="28"/>
                <w:szCs w:val="28"/>
                <w:u w:val="none"/>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B57226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E0DBDA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112.00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A8CF0D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436D94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16337E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6B8A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CD735F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7DBA1BD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施工标志牌</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FB74F3D">
            <w:pPr>
              <w:jc w:val="center"/>
              <w:rPr>
                <w:rFonts w:hint="eastAsia" w:ascii="宋体" w:hAnsi="宋体" w:eastAsia="宋体" w:cs="宋体"/>
                <w:i w:val="0"/>
                <w:iCs w:val="0"/>
                <w:color w:val="000000"/>
                <w:sz w:val="28"/>
                <w:szCs w:val="28"/>
                <w:u w:val="none"/>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6C01B7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块</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19E6A9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8A24F9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0821F8C">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FF4142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2058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B22D95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E53F9F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施工围挡</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46CF65A">
            <w:pPr>
              <w:jc w:val="center"/>
              <w:rPr>
                <w:rFonts w:hint="eastAsia" w:ascii="宋体" w:hAnsi="宋体" w:eastAsia="宋体" w:cs="宋体"/>
                <w:i w:val="0"/>
                <w:iCs w:val="0"/>
                <w:color w:val="000000"/>
                <w:sz w:val="28"/>
                <w:szCs w:val="28"/>
                <w:u w:val="none"/>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F2DA89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A5507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4567.00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49450F9">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F3F92B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F402B6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5224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568F2502">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菜园村片区</w:t>
            </w:r>
          </w:p>
        </w:tc>
      </w:tr>
      <w:tr w14:paraId="7AD21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45A038F3">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土方工程</w:t>
            </w:r>
          </w:p>
        </w:tc>
      </w:tr>
      <w:tr w14:paraId="669C9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F17D4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78BD83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挖沟槽土方(2米内）</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4B049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1、土壤类别：按一、二类土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2、挖土深度：2m内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0E42AC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5CED33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8635.23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180835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0CD386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F79B9C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429E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5BF7E8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CC7963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挖沟槽土方(4米内）</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5AB21A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1、土壤类别：按一、二类土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2、挖土深度：4m内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332D13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68EB39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13300.02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F18E609">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21E4C1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03956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C5C4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B8709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BFA8F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挖沟槽土方（6米内）</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2DDC5C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1、土壤类别：按一、二类土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2、挖土深度：6m内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ED610F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E59C9D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3656.82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771CF4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A26E54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59489A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8F71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339996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DA8B8B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4B34AE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1、填方材料品种：回填砂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199215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4026F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2334.95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FD13B8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D65FC0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BDE9E2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81DD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7EF638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15FC51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回填石屑</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6BEB00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1、填方材料品种：回填石屑</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CC890C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0EC30A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8303.53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36E9D65">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C6F3A35">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80D3BA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31A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5247E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0DD9BA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换填块石</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57AAE9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1、填方材料品种：块石</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2、填方来源:利用破除块石</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5F0E7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18D865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2641.76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E6C7106">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FC8739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0025C6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638A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E6B7D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B71039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回填土方</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C36EAB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920D62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419FF2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6280.57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DCA36E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350D45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1E942A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48C9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295E3D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61704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余方弃置</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DC890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1、废弃料品种:土方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015BD4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C77ABF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17886.42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FD9FD4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80E47CC">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C38C69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FE4A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08936E37">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排水工程</w:t>
            </w:r>
          </w:p>
        </w:tc>
      </w:tr>
      <w:tr w14:paraId="0E6A6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2261B05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污水工程</w:t>
            </w:r>
          </w:p>
        </w:tc>
      </w:tr>
      <w:tr w14:paraId="3B9D7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519FD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F6D351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管道砂垫层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D5E5D6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1、垫层、基础材质及厚度：200mm厚砂垫层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E3A8C8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156FE34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726.43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A10E64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557CD62">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4DC92F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D4F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22B801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39E522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埋地用改性高密度聚乙烯(HDPE-M)双壁波纹管 SN8 DN300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8CBBAA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1.材质及规格:埋地用改性高密度聚乙烯(HDPE-M)双壁波纹管DN300，环刚度SN≥8KN/m²</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2.连接形式:承插式胶圈接口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3.铺设深度:按设计要求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4.管道检验及试验要求:按设计及规范要求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B80B8F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7E7706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2425.68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844C3B8">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AD641E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603D64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9AF5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5CB23D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FF845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埋地用改性高密度聚乙烯(HDPE-M)双壁波纹管 SN8 DN400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514528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1.材质及规格:埋地用改性高密度聚乙烯(HDPE-M)双壁波纹管DN400，环刚度SN≥8KN/m²</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2.连接形式:承插式胶圈接口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3.铺设深度:按设计要求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4.管道检验及试验要求:按设计及规范</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6745F6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FF0CA9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365.02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1BFDA1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E6ECC46">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6E4397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17FE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1016F6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FA4DDA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聚乙烯PE100管|DN315（牵引施工，公称压力≥1.25Mpa）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9FA629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1、钻导向孔 DN≤300mm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2、扩孔 DN300mm以内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3、回拖布管 DN300mm以内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4、聚乙烯PE100管</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DN315 1.25Mpa</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5、管道闭水试验 管径300mm以内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6、中空壁缠绕结构管安装(电热熔带接口) 管径400mm以内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7、泥浆运输运距：按现场情况综合考虑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AC153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90A9DC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47.18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50804A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8B4C99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4A1C05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0CE9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9"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C28509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0B40C6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聚乙烯PE100管|DN400（牵引施工，公称压力≥1.25Mpa）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37A535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1、钻导向孔 DN≤600mm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2、扩孔 DN500mm以内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3、回拖布管 DN500mm以内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4、聚乙烯PE100管DN450 1.25Mpa</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5、管道闭水试验 管径400mm以内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6、中空壁缠绕结构管安装(电热熔带接口) 管径400mm以内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7、泥浆运输运距：按现场情况综合考虑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1346C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A44062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101.91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2695FE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22E989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CA6743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6717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75CA9F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67CE56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Φ1000圆形混凝土污水检查井（平均井深2.14m）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E6D5AF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1.种类:现浇钢筋混凝土检查井Φ1000mm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铸铁防沉降井盖带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6C7DD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1FEF5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106.00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061105E">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1AF6C9C">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30035B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21E7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155FFA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9EB959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Φ1000圆形混凝土污水沉泥井（平均井深3.79m）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D8CDC0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1.种类:现浇钢筋混凝土检查井Φ1000mm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CA55ED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B3ECF5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6809289">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3CBAEF0">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3D2EAC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5B22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9830BC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DAC689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Φ1250圆形混凝土污水检查井（平均井深0.931m）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D0DDE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1.种类:现浇钢筋混凝土检查井Φ1250mm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2DBC25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367D6D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39D1B5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0DD8572">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422818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5F4C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80C5EC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756BAB5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Φ1500圆形混凝土污水检查井（平均井深1.814m）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EC604A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1.种类:现浇钢筋混凝土检查井Φ1500mm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4E5CB4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0EA06E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862589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84A2116">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18AD6F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CB61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4"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65F55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D5A4D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牵引管沉井Φ1500（井均深3.023m）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6F9092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1.种类:牵引管沉井Φ1500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2.垫层、基础材质及厚度:C20砼垫层、C30砼底板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3、井身材质：预制钢筋砼管Φ1500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6、钢筋规格种类:螺纹钢10-25mm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FD474F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23EE60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8.00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32EB95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B756E95">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099F07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C274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01806B6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泥浆池</w:t>
            </w:r>
          </w:p>
        </w:tc>
      </w:tr>
      <w:tr w14:paraId="7AD8A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7F0C3F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AC9C81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挖基坑土方</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CB2D2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1、土壤类别：按一、二类土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2、挖土深度：2m内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7FD202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CC4D2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97.68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172D80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2C2044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E80BC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2F5C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F14794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701D0A0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回填方</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6FA1B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6E60D7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6707AC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60.68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E22892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A83093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10563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298A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B4096F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720082E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余方弃置</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20076BB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1、废弃料品种:土方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14D7A8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9EF554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27.92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9017AC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A00FC3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11E189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5160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D0737D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4CFA90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泥浆池 5500*3000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199BF0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1.种类、规格:砖砌泥浆池5500*3000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2.垫层、基础材质及厚度:C20混凝土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3.砌筑材料品种、规格、强度等级:M10水泥砂浆砖砌</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4.勾缝、抹面要求:M10水泥石灰砂浆</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6B674A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FA7FCC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3BFFE1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50072C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B90119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58D2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FC54C8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7ED7A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拆除泥浆池</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3F1567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1、结构形式：砖砌体、混凝土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2、废弃料品种:石方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70480D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C79C2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20EB322">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0431C93">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1F2F8C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72FC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2E36A93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雨水工程</w:t>
            </w:r>
          </w:p>
        </w:tc>
      </w:tr>
      <w:tr w14:paraId="16B13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897D9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375A0B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管道砂垫层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A4A0C5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1、垫层、基础材质及厚度：200mm厚砂垫层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5191D2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7A2ABF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330.10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E1D41E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CDF79E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1F755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420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EDC26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7EBE5FA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埋地用改性高密度聚乙烯(HDPE-M)双壁波纹管 SN8 DN300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2BFC5A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1.材质及规格:埋地用改性高密度聚乙烯(HDPE-M)双壁波纹管DN300，环刚度SN≥8KN/m²</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2.连接形式:承插式胶圈接口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3.铺设深度:按设计要求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586CA6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75142A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667.15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9FC638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130479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E3D3F4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E907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8806E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8F047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埋地用改性高密度聚乙烯(HDPE-M)双壁波纹管 SN8 DN400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7660F6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1.材质及规格:埋地用改性高密度聚乙烯(HDPE-M)双壁波纹管DN400，环刚度SN≥8KN/m²</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2.连接形式:承插式</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3.铺设深度:按设计要求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B22557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C6B418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777.70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47521E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32E11A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944BC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FF20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9"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46E223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42FBF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II级钢筋混凝土管DN600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F9646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1、垫层、基础材质及厚度:200厚石屑垫层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2、管座材质:C20商品混凝土(120度)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3、规格:II级钢筋混凝土管DN600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4、连接形式:橡胶圈接口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532CF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09814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365.90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83D6334">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BF40C76">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033DD5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5B2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F5EE1D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AF8F98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II级钢筋混凝土管DN800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7B625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1、垫层、基础材质及厚度:200厚石屑垫层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2、管座材质:C20商品混凝土(120度)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3、规格:II级钢筋混凝土管DN800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4、连接形式:橡胶圈接口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D9EA33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82AD55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295.72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E355B2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FF124C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E51C48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C68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503F49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21306B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II级钢筋混凝土管DN1000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A1301C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1、垫层、基础材质及厚度:200厚石屑垫层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2、管座材质:C20商品混凝土(120度)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3、规格:II级钢筋混凝土管DN1000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4、连接形式:橡胶圈接口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81763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E151DA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116.17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4D99D8A">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F35B48F">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AC44E2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342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FB082A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EECA7E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II级钢筋混凝土管DN1200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24F96E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1、垫层、基础材质及厚度:200厚石屑垫层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2、管座材质:C20商品混凝土(120度)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3、规格:II级钢筋混凝土管DN1200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4、连接形式:橡胶圈接口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3CFC33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E58B53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792.79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BDF8B12">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41A5C11">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DC09CA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0283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F607F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108ABC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II级钢筋混凝土管DN1200 顶管井内敷设</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CCF890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1、垫层、基础材质及厚度:200厚石屑垫层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2、管座材质:C20商品混凝土(120度)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3、规格:II级钢筋混凝土管DN1200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4、连接形式:橡胶圈接口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E48E60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F6C656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5.40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697FB1A">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337948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15F472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71C8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4"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D76428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F20FC7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III级钢筋混凝土 顶管DN1200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BE6616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1、管道材质及规格：顶管专用Ⅲ级钢筋混凝土管d1200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2、接口方式：橡胶圈接口</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3、土壤类别：按地质勘察报告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4、顶管工作方式：泥水平衡顶进</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5、成孔弃渣运距：综合考虑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1B0A67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0A12D4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76.00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886B0B3">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6732570">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513EA3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6091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9"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98E7C6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9859D8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1400*1100mm矩形混凝土雨水检查井（平均井深</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2.51m）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8C9227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1.种类:现浇钢筋混凝土检查井1400*1100mm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7DC205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3AB65E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4.00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8CD9886">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E3F344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EE32A8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A491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2EAA88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4EEC30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1700*1100mm矩形混凝土雨水检查井（平均井深2.29m）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4BE6E3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1.种类:现浇钢筋混凝土检查井1700*1100mm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C11553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7611FC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65443B5">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13DBCA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456668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0ED6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1A2998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236F1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2400*2000mm矩形混凝土雨水检查井（平均井深4.05m）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B7718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1.种类:现浇钢筋混凝土检查井2400*2000mm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C6D660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5F6EBF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4CB533E">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4A48F4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2507F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0365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1D7ABD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80071A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1900*1100mm矩形混凝土雨水检查井（平均井深4.07m）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9A5762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1.种类:现浇钢筋混凝土检查井1900*1100mm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0349D4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95846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18.00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73A1B4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E951D56">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B4DA8A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F501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04E5C8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2D0149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2400*2400mm矩形混凝土雨水检查井（平均井深4.29m）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247E71B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1.种类:现浇钢筋混凝土检查井2400*2400mm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C427AB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E1E60B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79CCD3E">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90F9A56">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7CFD5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252D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A4A15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47EE7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Φ1000圆形混凝土雨水检查井（平均井深1.48m）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821600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1.种类:现浇钢筋混凝土检查井Φ1000mm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D8182B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13C1B7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38.00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737BAB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58AF4FA">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4DD50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921B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ED106D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4AD0D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Φ1250圆形混凝土雨水检查井（平均井深1.95m）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977B7B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1.种类:现浇钢筋混凝土检查井Φ1250mm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2.垫层、基础材质及厚度:C15砼垫层、C30砼S6底板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5.井筒、井盖、井圈材质及规格:球墨铸铁防沉降井盖带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防坠网Φ700mm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7.防渗、防水、防腐要求:底板、井墙混凝土抗渗等级S6</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8、钢筋规格种类:螺纹钢10-25mm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9、模板制作、安装、拆除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1C0C0E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1E1D2BA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75881CA">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9EFA3CE">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753801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B546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3"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09836D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2FDA7A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双篦平篦式雨水口</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2E2FE37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1、平篦式雨水口 双箅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2、重型球墨铸铁防盗型雨水箅子及铸铁箅圈750*450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3、结构及做法：详见设计说明</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01E285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5A3040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44.00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340D46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DBFA48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1BECA3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B99F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3"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5F6655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E81B92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单篦平篦式雨水口</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E6ACDE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1、平篦式雨水口 单箅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2、重型球墨铸铁防盗型雨水箅子及铸铁箅圈750*450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3、结构及做法：详见设计说明</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A2B065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65B336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88.00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31AC6F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26040A0">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E5C9FD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047B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8D6D59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F7FD37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DN800 浆砌块石八字排出口</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189E46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1.砌体出水口 石砌(八字式) H×L1(m以内) 1.37×2.33 管径800mm以内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BE798B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537E0F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F68891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CA0D8E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051D06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C4C2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AAABD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FF7BEB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DN1200 浆砌块石八字排出口</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A9B76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砌体出水口 石砌(八字式) H×L1(m以内) 1.79×3.08 管径1200mm以内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ADB943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111D49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F449F04">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8330013">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17C38D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D3C7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391EC4E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顶管沉井工程</w:t>
            </w:r>
          </w:p>
        </w:tc>
      </w:tr>
      <w:tr w14:paraId="417F6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9"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11D5F0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C61E11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Φ7000圆形混凝土顶管工作井（平均</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井深4.22m）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739D7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2、井平面尺寸：井内尺寸Φ7000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3、具体做法：详见结构专业图纸</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617A24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C6E96E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090B2C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0B02C7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65D877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3CC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9"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3824E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0DDB1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Φ5000圆形混凝土顶管接收井（平均井深4.92m）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73DDCC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2、井平面尺寸：井内尺寸Φ5000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3、具体做法：详见结构专业图纸</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0E36AE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DF139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C63D80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4FD55E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CA1A1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42E6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18305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C9F748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沉井下沉</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4BED7F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1.水力机械冲吸泥下沉 下沉深度 15m以内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57C86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D559A5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391.63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BA98904">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7C12F9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F33BA6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5E2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B9156E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A06506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1553BE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1、填方材料品种：回填砂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EB6F55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D0E03E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210.91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BBEE5F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6A14EA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C5C05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ADA6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373FCC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AE80C8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余方弃置</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CE827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1、废弃料品种:土方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3D92D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A17094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391.63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E41739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286A4C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01B5E0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A165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18FE57D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支护工程</w:t>
            </w:r>
          </w:p>
        </w:tc>
      </w:tr>
      <w:tr w14:paraId="48611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686739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E753C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板式支护</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2B907E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1、支密板挡土板 双面</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746F1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364DB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1837.15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8E3EF3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B75419F">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1460B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9A72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3A555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BD80A3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4m25b槽钢支护</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B6A878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1、地层情况：按地质勘察报告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2、板桩类型：槽型钢板桩</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6EB62F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t</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D44D3E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1825.11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6A03F5C">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95B65E5">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63DBC4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58CE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493D0D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B7339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6m拉森Ⅲ型钢板桩支护桩</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64BD16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1、地层情况：按地质勘察报告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2、桩长：6m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3、板桩类型：III型拉森钢板桩</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3BC472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t</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CA941C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1978.85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B268FD8">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1623A1F">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C68E3D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5305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23C92B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F9015A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9m拉森Ⅳ型钢板桩支护桩</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98D369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1、地层情况：按地质勘察报告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2、桩长：9m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3、板桩类型：IV型拉森钢板桩</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1CF945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t</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256522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2015.04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5793DD5">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55521D8">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5EB9DE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C072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AB96A6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D960D8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钢板桩支撑</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152F6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1、钢板桩支撑安、拆 宽度4m内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D9840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0E3C69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1687.77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B64A22E">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4BB59D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AC5430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DCA8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2"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8993FA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9EC20E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D600高压旋喷桩</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7E7FC1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1、地层情况：按地质勘察报告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2、空桩长度、桩长：按设计图纸</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3、桩截面尺寸：桩径600mm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4、旋喷类型、方法：双管法</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5、水泥强度等级、掺量：普通硅酸盐水泥42.5、水泥含量250kg/m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5B4FC1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D486A1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964.42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73EF48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9B8992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E74FF6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058B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48B9054F">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污水接户管</w:t>
            </w:r>
          </w:p>
        </w:tc>
      </w:tr>
      <w:tr w14:paraId="0C8A5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9"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489058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4A025F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UPVC接户排水管|dn200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2E25ACA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1、材质及规格：UPVC管DN200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2、连接形式：粘接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3、铺设深度：按设计要求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4、管道检验及试验要求：按设计及规范要求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77B3E9E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8AC49E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2552.48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A9F152D">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D1A70A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8E0B44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61D0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5C43F7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04A49E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接户支管连接井500*500</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75FA60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1.种类:矩形钢筋混凝土检查井500*500mm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2、垫层、基础材质及厚度:C20砼垫层、C20砼底板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3、混凝土强度等级:井墙C30砼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4、盖板材质、规格:C30盖板</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5、井盖、井圈材质及规格:型球墨铸铁井盖φ500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6、踏步材质、规格:塑钢踏步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7、结构及做法:详见设计说明</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8、模板制作、安装、拆除</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910495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座</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6D6E51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177.00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E49BE4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0DDDE47">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45BC27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197A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4D877C2">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破除工程</w:t>
            </w:r>
          </w:p>
        </w:tc>
      </w:tr>
      <w:tr w14:paraId="7F253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4374D7B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结构层2</w:t>
            </w:r>
          </w:p>
        </w:tc>
      </w:tr>
      <w:tr w14:paraId="09843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C034D7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081BB5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旧路面机械切缝 水泥混凝土路面 9cm厚</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CB4C5B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1、类别:旧路切缝</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2、厚度:9cm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2D2242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D27808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2383.87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CB6198A">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0C86EF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705950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67144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7CF3A2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1B1BF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破除18cm厚混凝土</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C44CB0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1、材质:水泥混凝土路面</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2、厚度:18cm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3、场内运输运距：按现场情况综合考虑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926D38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704800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3850.51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DE6D8EE">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E1BAE13">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B49D3E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BDCF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B587E2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44813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破除C20贫砼基层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48F651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1、材质:水泥混凝土基层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3、场内运输运距：按现场情况综合考虑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BC096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663658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3850.51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6C92AD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F958B4A">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EB0D2B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C1F4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25D10AD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结构层3</w:t>
            </w:r>
          </w:p>
        </w:tc>
      </w:tr>
      <w:tr w14:paraId="36856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DEEDF0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A10373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旧路面机械切缝 水泥混凝土路面 10cm厚</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0ACDCA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1、类别:旧路切缝</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2、厚度:10cm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3DA62D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BA1DAE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1290.70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5177192">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380B8BF">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9E2AF9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AFC1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56FD56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DEDF18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破除20cm厚混凝土（利用于换填块</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石）</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82A20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1、材质:水泥混凝土路面</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3、场内运输运距：按现场情况综合考虑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5CA8E9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88DFE1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2806.40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9D86218">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ED9C7B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5A1E98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0EA6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186237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5D761BF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破除C20贫砼基层</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F74E10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1、材质:水泥混凝土基层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3、场内运输运距：按现场情况综合考虑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0C0B5F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491CBF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2806.40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C1D9433">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7013B9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53C236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BBB3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7A6058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结构层6</w:t>
            </w:r>
          </w:p>
        </w:tc>
      </w:tr>
      <w:tr w14:paraId="72822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4451A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76B441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旧路面机械切缝 水泥混凝土路面 15cm厚</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8EB0FA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1、类别:旧路切缝</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2、厚度:15cm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F235CE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1412482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2735.09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29AFB5A">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F6D6B9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6E2601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77B7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5"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B9677A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5C6FF4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破除30cm厚混凝土（用于换填块石基础）</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2CA434C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1、材质:水泥混凝土路面</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2、厚度:30cm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3、场内运输运距：按现场情况综合考虑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85792E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5333C7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3524.60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E0426A9">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E3EEB9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C9708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9259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6AD13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320946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破除C20贫砼基层（用于换填块石基础）</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6D4402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1、材质:水泥混凝土基层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3、场内运输运距：按现场情况综合考虑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48C468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39A74B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2309.10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CBF32C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D82B53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B54CD6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1BC3E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151F96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152F1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破除20cm厚混凝土（外弃）</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6C4675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1、材质:水泥混凝土基层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3、运输运距：按现场情况综合考虑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6C1064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30C5D7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1215.50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52D85B8">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4A3AE0CA">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47FEBC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C517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27A2F9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破除挡墙</w:t>
            </w:r>
          </w:p>
        </w:tc>
      </w:tr>
      <w:tr w14:paraId="1A817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6C21A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12C0FF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拆除砖石结构</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C131B2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1、结构形式:石砌体</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FAD6F3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163A2F4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14.30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D0F551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81ADA32">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0B6F5A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0719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506B4A67">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恢复工程</w:t>
            </w:r>
          </w:p>
        </w:tc>
      </w:tr>
      <w:tr w14:paraId="6DD35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DFE8C4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结构1</w:t>
            </w:r>
          </w:p>
        </w:tc>
      </w:tr>
      <w:tr w14:paraId="72D2D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55BA91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AE3F15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15cm厚C30混凝土路面（抗折强度4.0MPa）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388BA7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1、混凝土强度等级:C30商品混凝土（抗折砼）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2、厚度:15cm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8F8D8B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40DC88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1316.61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56975D97">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EF79D89">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610B21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AE15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4653D8D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D84DC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20cm厚C20贫砼</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ADA77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1、混凝土强度等级:C20商品混凝土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593E7C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8854F0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1316.61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AB14373">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DF60A3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0BA65B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FD2F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C1ADF1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结构2</w:t>
            </w:r>
          </w:p>
        </w:tc>
      </w:tr>
      <w:tr w14:paraId="30148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D3414D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5A9E5B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18cm厚C30混凝土路面（抗折强度4.0MPa）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559C4A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1、混凝土强度等级:C30商品混凝土（抗折砼）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2、厚度:18cm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259C63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AB0782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3850.51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8EAD4D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FFDE222">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4B1162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DB00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1699C2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80A475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20cm厚C20贫砼</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89BF27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1、混凝土强度等级:C20商品混凝土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7F8230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7EF8C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3850.51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B7EFF16">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50A298F">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D1C38A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6146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6C6EA41D">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结构3</w:t>
            </w:r>
          </w:p>
        </w:tc>
      </w:tr>
      <w:tr w14:paraId="3D622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26B7EF2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ED6D7E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20cm厚C35混凝土路面（抗折强度4.5MPa）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39B581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1、混凝土强度等级:C35商品混凝土（抗折砼）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2EEC5D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754B42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2806.40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E45A779">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BC46CFA">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263E1D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4F80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5F8FF75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322193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20cm厚C20贫砼</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CD5EF6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1、混凝土强度等级:C20商品混凝土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78EF45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212BEB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2806.40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8655DBB">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EE303FC">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882AAF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58FA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62D207FD">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结构6</w:t>
            </w:r>
          </w:p>
        </w:tc>
      </w:tr>
      <w:tr w14:paraId="40AA1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996076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32B7FF7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30cm厚C35混凝土路面（抗折强度4.5MPa）</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7E5636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1、混凝土强度等级:C35商品混凝土（抗折砼）</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2、厚度:30cm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ED1EB1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577B88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3524.60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20A655E">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79E96432">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B6F9E0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47457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0"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C8EDB4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C93583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20cm厚C20贫砼</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D59A42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1、混凝土强度等级:C20商品混凝土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2、厚度:20cm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D1462E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m2</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0E93E0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3524.60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A903EE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3C4F667E">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AF8AF3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2B67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506BE9D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新旧路面交接</w:t>
            </w:r>
          </w:p>
        </w:tc>
      </w:tr>
      <w:tr w14:paraId="12BE4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174D5E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97</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D3459F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钢筋植筋增加费 直径16mm</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DCE0BA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1、材料种类:HRB400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2、材料规格:Ф16mm</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3、植入深度:350mm</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1C3E86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根</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1F10AE0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16024.00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2226AD01">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C08DB93">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3F2BBDE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791EC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22927E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98</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7FD193D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水泥混凝土路面钢筋 构造筋</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3584F5C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1、水泥混凝土路面钢筋 构造筋</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8CEA79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t</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B60121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17.72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248FE54">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72E6D9A">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C887C5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254B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FA99E2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恢复挡墙</w:t>
            </w:r>
          </w:p>
        </w:tc>
      </w:tr>
      <w:tr w14:paraId="12060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C7FB3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99</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550842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挖沟槽土方</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1D9F54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1、土壤类别：按一、二类土</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2、挖土深度：2m内</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674D659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CD00C1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25.10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4897284">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5B4C0094">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F62AB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D43F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4E8D85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100</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EC40DA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回填方</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16E4818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1、填方材料品种：土方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2、密实度：按设计及规范要求</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4C3DFEE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46131F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10.80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0EF414FA">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866814B">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F3B1F9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3B898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A0DB1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101</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271EE9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余方弃置</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191C96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1、废弃料品种:土方</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2、运距：按现场情况综合考虑</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2F2A739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39E2AD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12.68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9CFC313">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F6EE8B2">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144A424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59A28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09D4EE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102</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18A21B3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M7.5浆砌毛石挡墙</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2866E5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1.部位:挡墙</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2.材料品种、规格:毛石</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3.砂浆强度等级:M7.5</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4.泄水孔材料品种、规格:PVC,Φ10</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5.滤水层要求:碎石</w:t>
            </w: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931F1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5EB6DF5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14.30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7DDE6450">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84BAFE5">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BFE11D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03C76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7F96881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措施工程</w:t>
            </w:r>
          </w:p>
        </w:tc>
      </w:tr>
      <w:tr w14:paraId="5C1EC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161F4D9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103</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003226B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井字架 2m内</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036F457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03AD08C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项</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6FF53F1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3E56115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684A63F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4CB4887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除主材、机械费用外，按施工图完成本项工作任务。</w:t>
            </w:r>
          </w:p>
        </w:tc>
      </w:tr>
      <w:tr w14:paraId="4680A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E1B1CF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104</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6C128D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井字架 4m内</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47755EC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3659357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项</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FCC62B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183C367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2E4C96C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560CE00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除主材、机械费用外，按施工图完成本项工作任务。</w:t>
            </w:r>
          </w:p>
        </w:tc>
      </w:tr>
      <w:tr w14:paraId="6DD1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616DAA6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105</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4913666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井字架 6m内</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76F77A9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344D5B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项</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24CC3C1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679F194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0E6C653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6BF80B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除主材、机械费用外，按施工图完成本项工作任务。</w:t>
            </w:r>
          </w:p>
        </w:tc>
      </w:tr>
      <w:tr w14:paraId="54E92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jc w:val="center"/>
        </w:trPr>
        <w:tc>
          <w:tcPr>
            <w:tcW w:w="633" w:type="dxa"/>
            <w:tcBorders>
              <w:top w:val="single" w:color="000000" w:sz="4" w:space="0"/>
              <w:left w:val="single" w:color="000000" w:sz="4" w:space="0"/>
              <w:bottom w:val="single" w:color="000000" w:sz="4" w:space="0"/>
              <w:right w:val="single" w:color="000000" w:sz="4" w:space="0"/>
            </w:tcBorders>
            <w:shd w:val="clear"/>
            <w:vAlign w:val="center"/>
          </w:tcPr>
          <w:p w14:paraId="3547676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106</w:t>
            </w:r>
          </w:p>
        </w:tc>
        <w:tc>
          <w:tcPr>
            <w:tcW w:w="1253" w:type="dxa"/>
            <w:tcBorders>
              <w:top w:val="single" w:color="000000" w:sz="4" w:space="0"/>
              <w:left w:val="single" w:color="000000" w:sz="4" w:space="0"/>
              <w:bottom w:val="single" w:color="000000" w:sz="4" w:space="0"/>
              <w:right w:val="single" w:color="000000" w:sz="4" w:space="0"/>
            </w:tcBorders>
            <w:shd w:val="clear"/>
            <w:vAlign w:val="center"/>
          </w:tcPr>
          <w:p w14:paraId="6B856C8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施工围挡</w:t>
            </w:r>
          </w:p>
        </w:tc>
        <w:tc>
          <w:tcPr>
            <w:tcW w:w="2074" w:type="dxa"/>
            <w:tcBorders>
              <w:top w:val="single" w:color="000000" w:sz="4" w:space="0"/>
              <w:left w:val="single" w:color="000000" w:sz="4" w:space="0"/>
              <w:bottom w:val="single" w:color="000000" w:sz="4" w:space="0"/>
              <w:right w:val="single" w:color="000000" w:sz="4" w:space="0"/>
            </w:tcBorders>
            <w:shd w:val="clear"/>
            <w:vAlign w:val="center"/>
          </w:tcPr>
          <w:p w14:paraId="55ABCC9B">
            <w:pPr>
              <w:jc w:val="center"/>
              <w:rPr>
                <w:rFonts w:hint="eastAsia" w:ascii="宋体" w:hAnsi="宋体" w:eastAsia="宋体" w:cs="宋体"/>
                <w:i w:val="0"/>
                <w:iCs w:val="0"/>
                <w:color w:val="000000"/>
                <w:sz w:val="28"/>
                <w:szCs w:val="28"/>
                <w:u w:val="none"/>
              </w:rPr>
            </w:pPr>
          </w:p>
        </w:tc>
        <w:tc>
          <w:tcPr>
            <w:tcW w:w="592" w:type="dxa"/>
            <w:tcBorders>
              <w:top w:val="single" w:color="000000" w:sz="4" w:space="0"/>
              <w:left w:val="single" w:color="000000" w:sz="4" w:space="0"/>
              <w:bottom w:val="single" w:color="000000" w:sz="4" w:space="0"/>
              <w:right w:val="single" w:color="000000" w:sz="4" w:space="0"/>
            </w:tcBorders>
            <w:shd w:val="clear"/>
            <w:vAlign w:val="center"/>
          </w:tcPr>
          <w:p w14:paraId="5D526DA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437" w:type="dxa"/>
            <w:tcBorders>
              <w:top w:val="single" w:color="000000" w:sz="4" w:space="0"/>
              <w:left w:val="single" w:color="000000" w:sz="4" w:space="0"/>
              <w:bottom w:val="single" w:color="000000" w:sz="4" w:space="0"/>
              <w:right w:val="single" w:color="000000" w:sz="4" w:space="0"/>
            </w:tcBorders>
            <w:shd w:val="clear"/>
            <w:vAlign w:val="center"/>
          </w:tcPr>
          <w:p w14:paraId="051683F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8092.00 </w:t>
            </w:r>
          </w:p>
        </w:tc>
        <w:tc>
          <w:tcPr>
            <w:tcW w:w="1094" w:type="dxa"/>
            <w:tcBorders>
              <w:top w:val="single" w:color="000000" w:sz="4" w:space="0"/>
              <w:left w:val="single" w:color="000000" w:sz="4" w:space="0"/>
              <w:bottom w:val="single" w:color="000000" w:sz="4" w:space="0"/>
              <w:right w:val="single" w:color="000000" w:sz="4" w:space="0"/>
            </w:tcBorders>
            <w:shd w:val="clear"/>
            <w:vAlign w:val="center"/>
          </w:tcPr>
          <w:p w14:paraId="4F493E7F">
            <w:pPr>
              <w:jc w:val="center"/>
              <w:rPr>
                <w:rFonts w:hint="eastAsia" w:ascii="宋体" w:hAnsi="宋体" w:eastAsia="宋体" w:cs="宋体"/>
                <w:i w:val="0"/>
                <w:iCs w:val="0"/>
                <w:color w:val="000000"/>
                <w:sz w:val="28"/>
                <w:szCs w:val="28"/>
                <w:u w:val="none"/>
              </w:rPr>
            </w:pPr>
          </w:p>
        </w:tc>
        <w:tc>
          <w:tcPr>
            <w:tcW w:w="1157" w:type="dxa"/>
            <w:tcBorders>
              <w:top w:val="single" w:color="000000" w:sz="4" w:space="0"/>
              <w:left w:val="single" w:color="000000" w:sz="4" w:space="0"/>
              <w:bottom w:val="single" w:color="000000" w:sz="4" w:space="0"/>
              <w:right w:val="single" w:color="000000" w:sz="4" w:space="0"/>
            </w:tcBorders>
            <w:shd w:val="clear"/>
            <w:noWrap/>
            <w:vAlign w:val="center"/>
          </w:tcPr>
          <w:p w14:paraId="1350B50D">
            <w:pPr>
              <w:jc w:val="center"/>
              <w:rPr>
                <w:rFonts w:hint="eastAsia" w:ascii="宋体" w:hAnsi="宋体" w:eastAsia="宋体" w:cs="宋体"/>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0F4097C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除主材、机械费用外，按施工图完成本项工作任务。</w:t>
            </w:r>
          </w:p>
        </w:tc>
      </w:tr>
      <w:tr w14:paraId="2C027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jc w:val="center"/>
        </w:trPr>
        <w:tc>
          <w:tcPr>
            <w:tcW w:w="7083" w:type="dxa"/>
            <w:gridSpan w:val="6"/>
            <w:tcBorders>
              <w:top w:val="single" w:color="000000" w:sz="4" w:space="0"/>
              <w:left w:val="single" w:color="000000" w:sz="4" w:space="0"/>
              <w:bottom w:val="single" w:color="000000" w:sz="4" w:space="0"/>
              <w:right w:val="single" w:color="000000" w:sz="4" w:space="0"/>
            </w:tcBorders>
            <w:shd w:val="clear"/>
            <w:vAlign w:val="center"/>
          </w:tcPr>
          <w:p w14:paraId="574049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小计</w:t>
            </w:r>
          </w:p>
        </w:tc>
        <w:tc>
          <w:tcPr>
            <w:tcW w:w="1157" w:type="dxa"/>
            <w:tcBorders>
              <w:top w:val="single" w:color="000000" w:sz="4" w:space="0"/>
              <w:left w:val="single" w:color="000000" w:sz="4" w:space="0"/>
              <w:bottom w:val="single" w:color="000000" w:sz="4" w:space="0"/>
              <w:right w:val="single" w:color="000000" w:sz="4" w:space="0"/>
            </w:tcBorders>
            <w:shd w:val="clear"/>
            <w:vAlign w:val="center"/>
          </w:tcPr>
          <w:p w14:paraId="7FBB96CB">
            <w:pPr>
              <w:jc w:val="center"/>
              <w:rPr>
                <w:rFonts w:hint="eastAsia" w:ascii="宋体" w:hAnsi="宋体" w:eastAsia="宋体" w:cs="宋体"/>
                <w:b/>
                <w:bCs/>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755F9C32">
            <w:pPr>
              <w:jc w:val="center"/>
              <w:rPr>
                <w:rFonts w:hint="eastAsia" w:ascii="宋体" w:hAnsi="宋体" w:eastAsia="宋体" w:cs="宋体"/>
                <w:i w:val="0"/>
                <w:iCs w:val="0"/>
                <w:color w:val="000000"/>
                <w:sz w:val="28"/>
                <w:szCs w:val="28"/>
                <w:u w:val="none"/>
              </w:rPr>
            </w:pPr>
          </w:p>
        </w:tc>
      </w:tr>
      <w:tr w14:paraId="4AB0A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jc w:val="center"/>
        </w:trPr>
        <w:tc>
          <w:tcPr>
            <w:tcW w:w="7083" w:type="dxa"/>
            <w:gridSpan w:val="6"/>
            <w:tcBorders>
              <w:top w:val="single" w:color="000000" w:sz="4" w:space="0"/>
              <w:left w:val="single" w:color="000000" w:sz="4" w:space="0"/>
              <w:bottom w:val="single" w:color="000000" w:sz="4" w:space="0"/>
              <w:right w:val="single" w:color="000000" w:sz="4" w:space="0"/>
            </w:tcBorders>
            <w:shd w:val="clear"/>
            <w:vAlign w:val="center"/>
          </w:tcPr>
          <w:p w14:paraId="6C6AA36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税费，开具   %增值税专用发票。</w:t>
            </w:r>
          </w:p>
        </w:tc>
        <w:tc>
          <w:tcPr>
            <w:tcW w:w="1157" w:type="dxa"/>
            <w:tcBorders>
              <w:top w:val="single" w:color="000000" w:sz="4" w:space="0"/>
              <w:left w:val="single" w:color="000000" w:sz="4" w:space="0"/>
              <w:bottom w:val="single" w:color="000000" w:sz="4" w:space="0"/>
              <w:right w:val="single" w:color="000000" w:sz="4" w:space="0"/>
            </w:tcBorders>
            <w:shd w:val="clear"/>
            <w:vAlign w:val="center"/>
          </w:tcPr>
          <w:p w14:paraId="0D0179B6">
            <w:pPr>
              <w:jc w:val="center"/>
              <w:rPr>
                <w:rFonts w:hint="eastAsia" w:ascii="宋体" w:hAnsi="宋体" w:eastAsia="宋体" w:cs="宋体"/>
                <w:b/>
                <w:bCs/>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2DFC8215">
            <w:pPr>
              <w:jc w:val="center"/>
              <w:rPr>
                <w:rFonts w:hint="eastAsia" w:ascii="宋体" w:hAnsi="宋体" w:eastAsia="宋体" w:cs="宋体"/>
                <w:i w:val="0"/>
                <w:iCs w:val="0"/>
                <w:color w:val="000000"/>
                <w:sz w:val="28"/>
                <w:szCs w:val="28"/>
                <w:u w:val="none"/>
              </w:rPr>
            </w:pPr>
          </w:p>
        </w:tc>
      </w:tr>
      <w:tr w14:paraId="5C10B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7083" w:type="dxa"/>
            <w:gridSpan w:val="6"/>
            <w:tcBorders>
              <w:top w:val="single" w:color="000000" w:sz="4" w:space="0"/>
              <w:left w:val="single" w:color="000000" w:sz="4" w:space="0"/>
              <w:bottom w:val="single" w:color="000000" w:sz="4" w:space="0"/>
              <w:right w:val="single" w:color="000000" w:sz="4" w:space="0"/>
            </w:tcBorders>
            <w:shd w:val="clear"/>
            <w:vAlign w:val="center"/>
          </w:tcPr>
          <w:p w14:paraId="2CF4580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合计</w:t>
            </w:r>
          </w:p>
        </w:tc>
        <w:tc>
          <w:tcPr>
            <w:tcW w:w="1157" w:type="dxa"/>
            <w:tcBorders>
              <w:top w:val="single" w:color="000000" w:sz="4" w:space="0"/>
              <w:left w:val="single" w:color="000000" w:sz="4" w:space="0"/>
              <w:bottom w:val="single" w:color="000000" w:sz="4" w:space="0"/>
              <w:right w:val="single" w:color="000000" w:sz="4" w:space="0"/>
            </w:tcBorders>
            <w:shd w:val="clear"/>
            <w:vAlign w:val="center"/>
          </w:tcPr>
          <w:p w14:paraId="63DBFC94">
            <w:pPr>
              <w:jc w:val="left"/>
              <w:rPr>
                <w:rFonts w:hint="eastAsia" w:ascii="宋体" w:hAnsi="宋体" w:eastAsia="宋体" w:cs="宋体"/>
                <w:b/>
                <w:bCs/>
                <w:i w:val="0"/>
                <w:iCs w:val="0"/>
                <w:color w:val="000000"/>
                <w:sz w:val="28"/>
                <w:szCs w:val="28"/>
                <w:u w:val="none"/>
              </w:rPr>
            </w:pPr>
          </w:p>
        </w:tc>
        <w:tc>
          <w:tcPr>
            <w:tcW w:w="1680" w:type="dxa"/>
            <w:tcBorders>
              <w:top w:val="single" w:color="000000" w:sz="4" w:space="0"/>
              <w:left w:val="single" w:color="000000" w:sz="4" w:space="0"/>
              <w:bottom w:val="single" w:color="000000" w:sz="4" w:space="0"/>
              <w:right w:val="single" w:color="000000" w:sz="4" w:space="0"/>
            </w:tcBorders>
            <w:shd w:val="clear"/>
            <w:vAlign w:val="center"/>
          </w:tcPr>
          <w:p w14:paraId="65DD878B">
            <w:pPr>
              <w:jc w:val="center"/>
              <w:rPr>
                <w:rFonts w:hint="eastAsia" w:ascii="宋体" w:hAnsi="宋体" w:eastAsia="宋体" w:cs="宋体"/>
                <w:i w:val="0"/>
                <w:iCs w:val="0"/>
                <w:color w:val="000000"/>
                <w:sz w:val="28"/>
                <w:szCs w:val="28"/>
                <w:u w:val="none"/>
              </w:rPr>
            </w:pPr>
          </w:p>
        </w:tc>
      </w:tr>
      <w:tr w14:paraId="4E412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vAlign w:val="center"/>
          </w:tcPr>
          <w:p w14:paraId="195AA3F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以上报价为含税价格，税率为   %，开具增值税专用发票。</w:t>
            </w:r>
          </w:p>
        </w:tc>
      </w:tr>
      <w:tr w14:paraId="1BAE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9920" w:type="dxa"/>
            <w:gridSpan w:val="8"/>
            <w:vMerge w:val="restart"/>
            <w:tcBorders>
              <w:top w:val="single" w:color="000000" w:sz="4" w:space="0"/>
              <w:left w:val="single" w:color="000000" w:sz="4" w:space="0"/>
              <w:bottom w:val="single" w:color="000000" w:sz="4" w:space="0"/>
              <w:right w:val="single" w:color="000000" w:sz="4" w:space="0"/>
            </w:tcBorders>
            <w:shd w:val="clear"/>
            <w:vAlign w:val="center"/>
          </w:tcPr>
          <w:p w14:paraId="79A0A69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交货地点：惠东县平海镇</w:t>
            </w:r>
          </w:p>
        </w:tc>
      </w:tr>
      <w:tr w14:paraId="283A4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9920" w:type="dxa"/>
            <w:gridSpan w:val="8"/>
            <w:vMerge w:val="continue"/>
            <w:tcBorders>
              <w:top w:val="single" w:color="000000" w:sz="4" w:space="0"/>
              <w:left w:val="single" w:color="000000" w:sz="4" w:space="0"/>
              <w:bottom w:val="single" w:color="000000" w:sz="4" w:space="0"/>
              <w:right w:val="single" w:color="000000" w:sz="4" w:space="0"/>
            </w:tcBorders>
            <w:shd w:val="clear"/>
            <w:vAlign w:val="center"/>
          </w:tcPr>
          <w:p w14:paraId="74CE88AB">
            <w:pPr>
              <w:jc w:val="left"/>
              <w:rPr>
                <w:rFonts w:hint="eastAsia" w:ascii="宋体" w:hAnsi="宋体" w:eastAsia="宋体" w:cs="宋体"/>
                <w:i w:val="0"/>
                <w:iCs w:val="0"/>
                <w:color w:val="000000"/>
                <w:sz w:val="28"/>
                <w:szCs w:val="28"/>
                <w:u w:val="none"/>
              </w:rPr>
            </w:pPr>
          </w:p>
        </w:tc>
      </w:tr>
      <w:tr w14:paraId="1CF12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noWrap/>
            <w:vAlign w:val="center"/>
          </w:tcPr>
          <w:p w14:paraId="772533F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                    报价单位：（盖章处）</w:t>
            </w:r>
          </w:p>
        </w:tc>
      </w:tr>
      <w:tr w14:paraId="062E7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1" w:hRule="atLeast"/>
          <w:jc w:val="center"/>
        </w:trPr>
        <w:tc>
          <w:tcPr>
            <w:tcW w:w="9920" w:type="dxa"/>
            <w:gridSpan w:val="8"/>
            <w:tcBorders>
              <w:top w:val="single" w:color="000000" w:sz="4" w:space="0"/>
              <w:left w:val="single" w:color="000000" w:sz="4" w:space="0"/>
              <w:bottom w:val="single" w:color="000000" w:sz="4" w:space="0"/>
              <w:right w:val="single" w:color="000000" w:sz="4" w:space="0"/>
            </w:tcBorders>
            <w:shd w:val="clear"/>
            <w:noWrap/>
            <w:vAlign w:val="center"/>
          </w:tcPr>
          <w:p w14:paraId="608BAE8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                     报价日期： 年  月   日</w:t>
            </w:r>
          </w:p>
        </w:tc>
      </w:tr>
    </w:tbl>
    <w:p w14:paraId="680B8E88">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222E7711">
      <w:pPr>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04D6363C">
      <w:pPr>
        <w:wordWrap w:val="0"/>
        <w:ind w:right="0"/>
        <w:jc w:val="right"/>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劳务合同编号：</w:t>
      </w:r>
      <w:r>
        <w:rPr>
          <w:rFonts w:hint="eastAsia" w:ascii="仿宋" w:hAnsi="仿宋" w:eastAsia="仿宋" w:cs="Times New Roman"/>
          <w:color w:val="000000"/>
          <w:sz w:val="24"/>
          <w:u w:val="single"/>
          <w:lang w:val="en-US" w:eastAsia="zh-CN"/>
        </w:rPr>
        <w:t xml:space="preserve">                       </w:t>
      </w:r>
    </w:p>
    <w:p w14:paraId="3B73C55A">
      <w:pPr>
        <w:wordWrap/>
        <w:ind w:right="0"/>
        <w:jc w:val="right"/>
        <w:rPr>
          <w:rFonts w:ascii="仿宋" w:hAnsi="仿宋" w:eastAsia="仿宋" w:cs="Times New Roman"/>
          <w:color w:val="000000"/>
          <w:sz w:val="24"/>
          <w:highlight w:val="yellow"/>
        </w:rPr>
      </w:pPr>
      <w:r>
        <w:rPr>
          <w:rFonts w:hint="eastAsia" w:ascii="仿宋" w:hAnsi="仿宋" w:eastAsia="仿宋" w:cs="Times New Roman"/>
          <w:color w:val="000000"/>
          <w:sz w:val="24"/>
        </w:rPr>
        <w:t xml:space="preserve"> </w:t>
      </w:r>
    </w:p>
    <w:p w14:paraId="5D3AF581">
      <w:pPr>
        <w:spacing w:line="360" w:lineRule="auto"/>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工程项目：</w:t>
      </w:r>
      <w:r>
        <w:rPr>
          <w:rFonts w:hint="eastAsia" w:ascii="仿宋" w:hAnsi="仿宋" w:eastAsia="仿宋" w:cs="Times New Roman"/>
          <w:color w:val="000000"/>
          <w:sz w:val="24"/>
          <w:u w:val="single"/>
          <w:lang w:val="en-US" w:eastAsia="zh-CN"/>
        </w:rPr>
        <w:t xml:space="preserve">             </w:t>
      </w:r>
    </w:p>
    <w:p w14:paraId="2678427A">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合同段：</w:t>
      </w:r>
      <w:r>
        <w:rPr>
          <w:rFonts w:hint="eastAsia" w:ascii="仿宋" w:hAnsi="仿宋" w:eastAsia="仿宋" w:cs="Times New Roman"/>
          <w:color w:val="000000"/>
          <w:sz w:val="24"/>
          <w:u w:val="single"/>
          <w:lang w:val="en-US" w:eastAsia="zh-CN"/>
        </w:rPr>
        <w:t xml:space="preserve">              </w:t>
      </w:r>
    </w:p>
    <w:p w14:paraId="29125DFD">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甲方：</w:t>
      </w:r>
      <w:r>
        <w:rPr>
          <w:rFonts w:hint="eastAsia" w:ascii="仿宋" w:hAnsi="仿宋" w:eastAsia="仿宋" w:cs="Times New Roman"/>
          <w:color w:val="000000"/>
          <w:sz w:val="24"/>
          <w:u w:val="single"/>
          <w:lang w:val="en-US" w:eastAsia="zh-CN"/>
        </w:rPr>
        <w:t xml:space="preserve">                  </w:t>
      </w:r>
    </w:p>
    <w:p w14:paraId="27AEB030">
      <w:pPr>
        <w:spacing w:line="360" w:lineRule="auto"/>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乙方：</w:t>
      </w:r>
      <w:r>
        <w:rPr>
          <w:rFonts w:hint="eastAsia" w:ascii="仿宋" w:hAnsi="仿宋" w:eastAsia="仿宋" w:cs="Times New Roman"/>
          <w:color w:val="000000"/>
          <w:sz w:val="24"/>
          <w:u w:val="single"/>
          <w:lang w:val="en-US" w:eastAsia="zh-CN"/>
        </w:rPr>
        <w:t xml:space="preserve">                       </w:t>
      </w:r>
    </w:p>
    <w:p w14:paraId="034A7CB3">
      <w:pPr>
        <w:spacing w:line="360" w:lineRule="auto"/>
        <w:ind w:firstLine="480" w:firstLineChars="200"/>
        <w:rPr>
          <w:rFonts w:hint="eastAsia" w:ascii="仿宋" w:hAnsi="仿宋" w:eastAsia="仿宋" w:cs="Times New Roman"/>
          <w:b/>
          <w:color w:val="000000"/>
          <w:sz w:val="24"/>
        </w:rPr>
      </w:pPr>
      <w:r>
        <w:rPr>
          <w:rFonts w:hint="eastAsia" w:ascii="仿宋" w:hAnsi="仿宋" w:eastAsia="仿宋" w:cs="Times New Roman"/>
          <w:color w:val="000000"/>
          <w:sz w:val="24"/>
        </w:rPr>
        <w:t>依照《中华人民共和国民法典》及其它有关法律、行政法规、规章，遵循平等、自愿、公平和诚实信用的原则，双方就劳务合作事项协商达成一致，订立本合同。</w:t>
      </w:r>
    </w:p>
    <w:p w14:paraId="62AD8B05">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1.工程名称、地点和劳务内容</w:t>
      </w:r>
    </w:p>
    <w:p w14:paraId="376D9C99">
      <w:pPr>
        <w:tabs>
          <w:tab w:val="left" w:pos="0"/>
        </w:tabs>
        <w:spacing w:line="360" w:lineRule="auto"/>
        <w:ind w:firstLine="480" w:firstLineChars="200"/>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1.1工程名称：</w:t>
      </w:r>
      <w:r>
        <w:rPr>
          <w:rFonts w:hint="eastAsia" w:ascii="仿宋" w:hAnsi="仿宋" w:eastAsia="仿宋" w:cs="Times New Roman"/>
          <w:color w:val="000000"/>
          <w:sz w:val="24"/>
          <w:u w:val="single"/>
          <w:lang w:val="en-US" w:eastAsia="zh-CN"/>
        </w:rPr>
        <w:t xml:space="preserve">                 </w:t>
      </w:r>
    </w:p>
    <w:p w14:paraId="79118678">
      <w:pPr>
        <w:tabs>
          <w:tab w:val="left" w:pos="0"/>
        </w:tabs>
        <w:spacing w:line="360" w:lineRule="auto"/>
        <w:ind w:firstLine="480" w:firstLineChars="200"/>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1.2工程地点和范围：</w:t>
      </w:r>
      <w:r>
        <w:rPr>
          <w:rFonts w:hint="eastAsia" w:ascii="仿宋" w:hAnsi="仿宋" w:eastAsia="仿宋" w:cs="Times New Roman"/>
          <w:color w:val="000000"/>
          <w:sz w:val="24"/>
          <w:u w:val="single"/>
          <w:lang w:val="en-US" w:eastAsia="zh-CN"/>
        </w:rPr>
        <w:t xml:space="preserve">                  </w:t>
      </w:r>
    </w:p>
    <w:p w14:paraId="7B43BA83">
      <w:pPr>
        <w:tabs>
          <w:tab w:val="left" w:pos="0"/>
        </w:tabs>
        <w:spacing w:line="360" w:lineRule="auto"/>
        <w:ind w:firstLine="480" w:firstLineChars="200"/>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1.3劳务内容和方式：</w:t>
      </w:r>
      <w:r>
        <w:rPr>
          <w:rFonts w:hint="eastAsia" w:ascii="仿宋" w:hAnsi="仿宋" w:eastAsia="仿宋" w:cs="Times New Roman"/>
          <w:color w:val="000000"/>
          <w:sz w:val="24"/>
          <w:u w:val="single"/>
          <w:lang w:val="en-US" w:eastAsia="zh-CN"/>
        </w:rPr>
        <w:t xml:space="preserve">                </w:t>
      </w:r>
    </w:p>
    <w:p w14:paraId="514989E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1.3.1负责完成</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。具体工程数量见附件一《劳务计价清单》，清单数量为暂定数量，实际数量按业主批复内实际完成数量且经甲乙双方确认的结算数量为准。</w:t>
      </w:r>
    </w:p>
    <w:p w14:paraId="6F03E1A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1.3.2乙方负责按本合同约定范围内除甲方负责外的一切劳务施工作业。包括但不限于从进场施工准备、施工全过程到完工交验，缺陷责任期内属乙方缺陷责任的缺陷修复到竣工验收所需的全部施工工作。</w:t>
      </w:r>
    </w:p>
    <w:p w14:paraId="0F344F6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1.3.3乙方不得以任何形式对本合同工程进行分包、转包。</w:t>
      </w:r>
    </w:p>
    <w:p w14:paraId="1D883791">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1.4劳务人员数量共计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人。具体人数根据工程需要安排进场。</w:t>
      </w:r>
    </w:p>
    <w:p w14:paraId="2A0D413A">
      <w:pPr>
        <w:tabs>
          <w:tab w:val="left" w:pos="0"/>
        </w:tabs>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2.合同价格</w:t>
      </w:r>
    </w:p>
    <w:p w14:paraId="1C56E59A">
      <w:pPr>
        <w:autoSpaceDE w:val="0"/>
        <w:autoSpaceDN w:val="0"/>
        <w:adjustRightInd w:val="0"/>
        <w:spacing w:line="360" w:lineRule="auto"/>
        <w:ind w:firstLine="480" w:firstLineChars="200"/>
        <w:rPr>
          <w:rStyle w:val="12"/>
          <w:rFonts w:ascii="仿宋" w:hAnsi="仿宋" w:eastAsia="仿宋" w:cs="Times New Roman"/>
          <w:bCs w:val="0"/>
          <w:sz w:val="24"/>
        </w:rPr>
      </w:pPr>
      <w:r>
        <w:rPr>
          <w:rFonts w:hint="eastAsia" w:ascii="仿宋" w:hAnsi="仿宋" w:eastAsia="仿宋" w:cs="Times New Roman"/>
          <w:color w:val="000000"/>
          <w:sz w:val="24"/>
        </w:rPr>
        <w:t>2.1</w:t>
      </w:r>
      <w:r>
        <w:rPr>
          <w:rStyle w:val="12"/>
          <w:rFonts w:hint="eastAsia" w:ascii="仿宋" w:hAnsi="仿宋" w:eastAsia="仿宋" w:cs="Times New Roman"/>
          <w:b w:val="0"/>
          <w:sz w:val="24"/>
        </w:rPr>
        <w:t>合同的暂定含税总价为人民币</w:t>
      </w:r>
      <w:r>
        <w:rPr>
          <w:rStyle w:val="12"/>
          <w:rFonts w:hint="eastAsia" w:ascii="仿宋" w:hAnsi="仿宋" w:eastAsia="仿宋" w:cs="Times New Roman"/>
          <w:b w:val="0"/>
          <w:sz w:val="24"/>
          <w:u w:val="single"/>
          <w:lang w:val="en-US" w:eastAsia="zh-CN"/>
        </w:rPr>
        <w:t xml:space="preserve">       </w:t>
      </w:r>
      <w:r>
        <w:rPr>
          <w:rStyle w:val="12"/>
          <w:rFonts w:hint="eastAsia" w:ascii="仿宋" w:hAnsi="仿宋" w:eastAsia="仿宋" w:cs="Times New Roman"/>
          <w:b w:val="0"/>
          <w:sz w:val="24"/>
        </w:rPr>
        <w:t>元（大写：</w:t>
      </w:r>
      <w:r>
        <w:rPr>
          <w:rStyle w:val="12"/>
          <w:rFonts w:hint="eastAsia" w:ascii="仿宋" w:hAnsi="仿宋" w:eastAsia="仿宋" w:cs="Times New Roman"/>
          <w:b w:val="0"/>
          <w:sz w:val="24"/>
          <w:lang w:val="en-US" w:eastAsia="zh-CN"/>
        </w:rPr>
        <w:t xml:space="preserve">  </w:t>
      </w:r>
      <w:r>
        <w:rPr>
          <w:rStyle w:val="12"/>
          <w:rFonts w:hint="eastAsia" w:ascii="仿宋" w:hAnsi="仿宋" w:eastAsia="仿宋" w:cs="Times New Roman"/>
          <w:b w:val="0"/>
          <w:sz w:val="24"/>
        </w:rPr>
        <w:t>），其中不含增值税总价</w:t>
      </w:r>
      <w:r>
        <w:rPr>
          <w:rStyle w:val="12"/>
          <w:rFonts w:hint="eastAsia" w:ascii="仿宋" w:hAnsi="仿宋" w:eastAsia="仿宋" w:cs="Times New Roman"/>
          <w:b w:val="0"/>
          <w:sz w:val="24"/>
          <w:u w:val="single"/>
          <w:lang w:val="en-US" w:eastAsia="zh-CN"/>
        </w:rPr>
        <w:t xml:space="preserve">    </w:t>
      </w:r>
      <w:r>
        <w:rPr>
          <w:rStyle w:val="12"/>
          <w:rFonts w:hint="eastAsia" w:ascii="仿宋" w:hAnsi="仿宋" w:eastAsia="仿宋" w:cs="Times New Roman"/>
          <w:b w:val="0"/>
          <w:sz w:val="24"/>
        </w:rPr>
        <w:t>元（大写：</w:t>
      </w:r>
      <w:r>
        <w:rPr>
          <w:rStyle w:val="12"/>
          <w:rFonts w:hint="eastAsia" w:ascii="仿宋" w:hAnsi="仿宋" w:eastAsia="仿宋" w:cs="Times New Roman"/>
          <w:b w:val="0"/>
          <w:sz w:val="24"/>
          <w:lang w:val="en-US" w:eastAsia="zh-CN"/>
        </w:rPr>
        <w:t xml:space="preserve">     </w:t>
      </w:r>
      <w:r>
        <w:rPr>
          <w:rStyle w:val="12"/>
          <w:rFonts w:hint="eastAsia" w:ascii="仿宋" w:hAnsi="仿宋" w:eastAsia="仿宋" w:cs="Times New Roman"/>
          <w:b w:val="0"/>
          <w:sz w:val="24"/>
        </w:rPr>
        <w:t>），增值税</w:t>
      </w:r>
      <w:r>
        <w:rPr>
          <w:rStyle w:val="12"/>
          <w:rFonts w:hint="eastAsia" w:ascii="仿宋" w:hAnsi="仿宋" w:eastAsia="仿宋" w:cs="Times New Roman"/>
          <w:b w:val="0"/>
          <w:sz w:val="24"/>
          <w:u w:val="single"/>
          <w:lang w:val="en-US" w:eastAsia="zh-CN"/>
        </w:rPr>
        <w:t xml:space="preserve">     </w:t>
      </w:r>
      <w:r>
        <w:rPr>
          <w:rStyle w:val="12"/>
          <w:rFonts w:hint="eastAsia" w:ascii="仿宋" w:hAnsi="仿宋" w:eastAsia="仿宋" w:cs="Times New Roman"/>
          <w:b w:val="0"/>
          <w:sz w:val="24"/>
        </w:rPr>
        <w:t>元（大写：</w:t>
      </w:r>
      <w:r>
        <w:rPr>
          <w:rStyle w:val="12"/>
          <w:rFonts w:hint="eastAsia" w:ascii="仿宋" w:hAnsi="仿宋" w:eastAsia="仿宋" w:cs="Times New Roman"/>
          <w:b w:val="0"/>
          <w:sz w:val="24"/>
          <w:u w:val="single"/>
          <w:lang w:val="en-US" w:eastAsia="zh-CN"/>
        </w:rPr>
        <w:t xml:space="preserve">      </w:t>
      </w:r>
      <w:r>
        <w:rPr>
          <w:rStyle w:val="12"/>
          <w:rFonts w:hint="eastAsia" w:ascii="仿宋" w:hAnsi="仿宋" w:eastAsia="仿宋" w:cs="Times New Roman"/>
          <w:b w:val="0"/>
          <w:sz w:val="24"/>
        </w:rPr>
        <w:t>）。本合同综合单价以本合同附件一《工程量（或货物、劳务、服务等）清单》为准，其中增值税按不含增值税总价的</w:t>
      </w:r>
      <w:r>
        <w:rPr>
          <w:rStyle w:val="12"/>
          <w:rFonts w:hint="eastAsia" w:ascii="仿宋" w:hAnsi="仿宋" w:eastAsia="仿宋" w:cs="Times New Roman"/>
          <w:b w:val="0"/>
          <w:sz w:val="24"/>
          <w:u w:val="single"/>
          <w:lang w:val="en-US" w:eastAsia="zh-CN"/>
        </w:rPr>
        <w:t xml:space="preserve">   </w:t>
      </w:r>
      <w:r>
        <w:rPr>
          <w:rStyle w:val="12"/>
          <w:rFonts w:hint="eastAsia" w:ascii="仿宋" w:hAnsi="仿宋" w:eastAsia="仿宋" w:cs="Times New Roman"/>
          <w:b w:val="0"/>
          <w:sz w:val="24"/>
          <w:u w:val="single"/>
        </w:rPr>
        <w:t>%</w:t>
      </w:r>
      <w:r>
        <w:rPr>
          <w:rStyle w:val="12"/>
          <w:rFonts w:hint="eastAsia" w:ascii="仿宋" w:hAnsi="仿宋" w:eastAsia="仿宋" w:cs="Times New Roman"/>
          <w:b w:val="0"/>
          <w:sz w:val="24"/>
        </w:rPr>
        <w:t>单列（增值税税率随国家政策和适用税率同步调整）；</w:t>
      </w:r>
      <w:r>
        <w:rPr>
          <w:rStyle w:val="12"/>
          <w:rFonts w:hint="eastAsia" w:ascii="仿宋" w:hAnsi="仿宋" w:eastAsia="仿宋" w:cs="Times New Roman"/>
          <w:bCs w:val="0"/>
          <w:sz w:val="24"/>
        </w:rPr>
        <w:t>本合同暂定总价不作为双方最终结算的依据。结算工程量按实际发生的每月得到甲方签认计量的工程量为准。中间计量及最终结算应由甲方项目经理签字并加盖公章，非上述人员签字盖章的，甲方不予认可。</w:t>
      </w:r>
    </w:p>
    <w:p w14:paraId="65E6DA9A">
      <w:pPr>
        <w:adjustRightInd w:val="0"/>
        <w:snapToGrid w:val="0"/>
        <w:spacing w:line="360" w:lineRule="auto"/>
        <w:ind w:firstLine="480" w:firstLineChars="200"/>
        <w:rPr>
          <w:rStyle w:val="12"/>
          <w:rFonts w:ascii="仿宋" w:hAnsi="仿宋" w:eastAsia="仿宋" w:cs="Times New Roman"/>
          <w:b w:val="0"/>
          <w:sz w:val="24"/>
        </w:rPr>
      </w:pPr>
      <w:r>
        <w:rPr>
          <w:rFonts w:hint="eastAsia" w:ascii="仿宋" w:hAnsi="仿宋" w:eastAsia="仿宋" w:cs="Times New Roman"/>
          <w:sz w:val="24"/>
        </w:rPr>
        <w:t>2.2</w:t>
      </w:r>
      <w:r>
        <w:rPr>
          <w:rStyle w:val="12"/>
          <w:rFonts w:hint="eastAsia" w:ascii="仿宋" w:hAnsi="仿宋" w:eastAsia="仿宋" w:cs="Times New Roman"/>
          <w:b w:val="0"/>
          <w:sz w:val="24"/>
        </w:rPr>
        <w:t>本合同清单综合单价和不含增值税总价包括：</w:t>
      </w:r>
      <w:r>
        <w:rPr>
          <w:rStyle w:val="12"/>
          <w:rFonts w:hint="eastAsia" w:ascii="仿宋" w:hAnsi="仿宋" w:eastAsia="仿宋" w:cs="Times New Roman"/>
          <w:b w:val="0"/>
          <w:bCs w:val="0"/>
          <w:sz w:val="24"/>
        </w:rPr>
        <w:t>人工、</w:t>
      </w:r>
      <w:r>
        <w:rPr>
          <w:rStyle w:val="12"/>
          <w:rFonts w:hint="eastAsia" w:ascii="仿宋" w:hAnsi="仿宋" w:eastAsia="仿宋" w:cs="Times New Roman"/>
          <w:b w:val="0"/>
          <w:sz w:val="24"/>
        </w:rPr>
        <w:t>管理费、利润、除增值税以外的一切税费（包括但不限于为实施本合同应缴纳的企业所得税、个人所得税、印花税、资源税、城市维护建设税、教育费附加、地方教育附加、堤围防护费等），以及</w:t>
      </w:r>
      <w:r>
        <w:rPr>
          <w:rStyle w:val="12"/>
          <w:rFonts w:hint="eastAsia" w:ascii="仿宋" w:hAnsi="仿宋" w:eastAsia="仿宋" w:cs="Times New Roman"/>
          <w:b w:val="0"/>
          <w:bCs w:val="0"/>
          <w:sz w:val="24"/>
        </w:rPr>
        <w:t>施工点安全维护</w:t>
      </w:r>
      <w:r>
        <w:rPr>
          <w:rStyle w:val="12"/>
          <w:rFonts w:hint="eastAsia" w:ascii="仿宋" w:hAnsi="仿宋" w:eastAsia="仿宋" w:cs="Times New Roman"/>
          <w:b w:val="0"/>
          <w:sz w:val="24"/>
        </w:rPr>
        <w:t>（以清单内容为准）。</w:t>
      </w:r>
    </w:p>
    <w:p w14:paraId="78FCC425">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本合同综合单价已经充分考虑了各种可能影响正常施工的因素以及市场风险，除甲乙双方协商一致签订书面变更协议外，本合同综合单价不因任何原因而调整。</w:t>
      </w:r>
    </w:p>
    <w:p w14:paraId="3903C38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2.3因工程变更导致新的工程项目出现时，变更部分工程的综合单价按以下原则确定：</w:t>
      </w:r>
    </w:p>
    <w:p w14:paraId="2E0F28A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2.3.1变更工程项目在附件一《劳务计价清单》中有相对应项目的，套用《劳务计价清单》中相应项目的综合单价执行。</w:t>
      </w:r>
    </w:p>
    <w:p w14:paraId="4901846D">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2.3.2变更工程项目在附件一《劳务计价清单》中没有相对应项目的，以经双方确认的该项目的成本加合理的利润、税金作为综合单价。</w:t>
      </w:r>
    </w:p>
    <w:p w14:paraId="30F7619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2.3.3当乙方在甲方要求下实施合同清单外的项目即变更工程或者本合同实际施工的数量已经超过合同清单数量时，甲乙双方必须在当月将本月实际完成数量书面确认，双方应签订补充协议。</w:t>
      </w:r>
    </w:p>
    <w:p w14:paraId="5E864C03">
      <w:pPr>
        <w:spacing w:line="360" w:lineRule="auto"/>
        <w:ind w:firstLine="482" w:firstLineChars="200"/>
        <w:rPr>
          <w:rFonts w:hint="eastAsia" w:ascii="仿宋" w:hAnsi="仿宋" w:eastAsia="仿宋" w:cs="Times New Roman"/>
          <w:b/>
          <w:color w:val="000000"/>
          <w:spacing w:val="-8"/>
          <w:sz w:val="24"/>
        </w:rPr>
      </w:pPr>
      <w:r>
        <w:rPr>
          <w:rFonts w:hint="eastAsia" w:ascii="仿宋" w:hAnsi="仿宋" w:eastAsia="仿宋" w:cs="Times New Roman"/>
          <w:b/>
          <w:color w:val="000000"/>
          <w:sz w:val="24"/>
        </w:rPr>
        <w:t>3.</w:t>
      </w:r>
      <w:r>
        <w:rPr>
          <w:rFonts w:hint="eastAsia" w:ascii="仿宋" w:hAnsi="仿宋" w:eastAsia="仿宋" w:cs="Times New Roman"/>
          <w:b/>
          <w:color w:val="000000"/>
          <w:spacing w:val="-8"/>
          <w:sz w:val="24"/>
        </w:rPr>
        <w:t>双方责任</w:t>
      </w:r>
    </w:p>
    <w:p w14:paraId="01FA749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3.1甲方责任</w:t>
      </w:r>
    </w:p>
    <w:p w14:paraId="2831C06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3.1.1为加强对乙方劳务人员的组织与管理，甲方成立现场管理机构项目经理部，对工程施工全过程实施全面监控管理。</w:t>
      </w:r>
    </w:p>
    <w:p w14:paraId="39B0EBC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3.1.2负责编制实施性施工组织设计，负责施工测量和技术管理。</w:t>
      </w:r>
    </w:p>
    <w:p w14:paraId="423983D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3.1.3按施工组织设计及时供应材料和提供机械设备，满足工程进度的需要。</w:t>
      </w:r>
    </w:p>
    <w:p w14:paraId="3F34987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3.1.4负责在施工前对乙方劳务人员进行安全</w:t>
      </w:r>
      <w:r>
        <w:rPr>
          <w:rFonts w:hint="eastAsia" w:ascii="仿宋" w:hAnsi="仿宋" w:eastAsia="仿宋" w:cs="宋体"/>
          <w:color w:val="000000"/>
          <w:sz w:val="24"/>
        </w:rPr>
        <w:t>教育、应急技能培训、安全</w:t>
      </w:r>
      <w:r>
        <w:rPr>
          <w:rFonts w:hint="eastAsia" w:ascii="仿宋" w:hAnsi="仿宋" w:eastAsia="仿宋" w:cs="Times New Roman"/>
          <w:color w:val="000000"/>
          <w:sz w:val="24"/>
        </w:rPr>
        <w:t>技术交底，让乙方劳务人员熟练掌握有关操作规程和操作技术。</w:t>
      </w:r>
    </w:p>
    <w:p w14:paraId="613B3B3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3.1.5编制施工进度计划，人员、材料、设备等进场计划，并组织乙方劳务人员按规定程序进行劳务作业。</w:t>
      </w:r>
    </w:p>
    <w:p w14:paraId="71A82F9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3.1.6负责原材料、设备、构配件、半成品的检验和试验。</w:t>
      </w:r>
    </w:p>
    <w:p w14:paraId="7966640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3.1.7对乙方安排的劳务人员进行岗前专业培训，并记录教育培训档案。</w:t>
      </w:r>
    </w:p>
    <w:p w14:paraId="2BCCD66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3.1.8监督乙方劳务人员进行文明施工、安全生产，保证作业现场施工安全。</w:t>
      </w:r>
    </w:p>
    <w:p w14:paraId="218AD4B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3.1.9负责办理征地拆迁以及本协议作业项目的道路、用电、用水，以满足施工需要。</w:t>
      </w:r>
    </w:p>
    <w:p w14:paraId="1443F31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3.1.10甲方负责对每道工序的质量进行检验，乙方完成每道工序须由甲方工程技术人员检验认可，否则乙方不能进入下一道工序的劳务作业。</w:t>
      </w:r>
    </w:p>
    <w:p w14:paraId="16C7ACF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3.1.11对已完劳务作业项目组织验收，负责工程资料的收集和汇总并按协议规定办理劳务费用结算。</w:t>
      </w:r>
    </w:p>
    <w:p w14:paraId="5DC8529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3.2乙方责任</w:t>
      </w:r>
    </w:p>
    <w:p w14:paraId="7DDB9340">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3.2.1按甲方要求安排符合施工需要的劳务作业人员。乙方必须安排与之有劳动合同关系的劳务作业人员，未签订劳动合同的不得进入施工现场从事劳务作业活动。</w:t>
      </w:r>
    </w:p>
    <w:p w14:paraId="19E31EF7">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3.2.2乙方必须自费为其在本工程雇用的劳务人员办理意外险、工伤保险及社会劳动保险等。详见本合同第10条保险条款。</w:t>
      </w:r>
    </w:p>
    <w:p w14:paraId="7F88F86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3.2.3乙方应派出现场负责人协助甲方对劳务人员进行劳务作业管理。</w:t>
      </w:r>
    </w:p>
    <w:p w14:paraId="23E5AAA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3.2.4乙方劳务人员应按甲方劳务培训计划参加相关工法、操作规程的学习，严格按规定程序进行劳务作业。</w:t>
      </w:r>
    </w:p>
    <w:p w14:paraId="300F66D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3.2.5乙方</w:t>
      </w:r>
      <w:r>
        <w:rPr>
          <w:rFonts w:hint="eastAsia" w:ascii="仿宋" w:hAnsi="仿宋" w:eastAsia="仿宋" w:cs="Arial"/>
          <w:color w:val="000000"/>
          <w:sz w:val="24"/>
        </w:rPr>
        <w:t>应当建立、健全职业病防治责任制，加强对职业病防治的管理，对产生的职业病危害承担责任。</w:t>
      </w:r>
    </w:p>
    <w:p w14:paraId="2812454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1DD670D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3.2.7乙方劳务人员在劳务作业中发生质量、安全责任事故，应及时报告甲方管理人员，不得擅自处理或隐瞒。</w:t>
      </w:r>
    </w:p>
    <w:p w14:paraId="1C83E5F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3.2.8劳务作业过程中，乙方劳务人员与在施工地与其他第三方发生的债权债务及治安等问题由乙方负责处理，并承担相应责任和费用。</w:t>
      </w:r>
    </w:p>
    <w:p w14:paraId="536BF51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3.2.9乙方劳务人员须认真按照行业技术规范和设计要求以及甲方的管理进行劳务作业，随时接受甲方管理人员的监督检查。</w:t>
      </w:r>
    </w:p>
    <w:p w14:paraId="1F2023A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3.2.10乙方不得将本工程转包或者分包给其他单位或个人施工，须自行完成本协议规定的施工作业项目；在施工过程中，不得偷工减料，不得倒卖或挪用甲方供应的材料、设备、构配件、成品、半成品。</w:t>
      </w:r>
    </w:p>
    <w:p w14:paraId="1ACD033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3.2.11遵守国家法律法规和甲方公司制度要求。</w:t>
      </w:r>
    </w:p>
    <w:p w14:paraId="6B85EB7F">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4.工期</w:t>
      </w:r>
    </w:p>
    <w:p w14:paraId="520CB25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4.1本劳务合作合同工期预计为</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月，开工日期以甲方通知乙方进场日期为准,完工日期以乙方完成甲方指定的工作为止。</w:t>
      </w:r>
    </w:p>
    <w:p w14:paraId="5375B779">
      <w:pPr>
        <w:spacing w:line="360" w:lineRule="auto"/>
        <w:ind w:firstLine="480" w:firstLineChars="200"/>
        <w:jc w:val="left"/>
        <w:rPr>
          <w:rFonts w:hint="eastAsia" w:ascii="仿宋" w:hAnsi="仿宋" w:eastAsia="仿宋" w:cs="Times New Roman"/>
          <w:b/>
          <w:color w:val="000000"/>
          <w:sz w:val="24"/>
        </w:rPr>
      </w:pPr>
      <w:r>
        <w:rPr>
          <w:rFonts w:hint="eastAsia" w:ascii="仿宋" w:hAnsi="仿宋" w:eastAsia="仿宋" w:cs="Times New Roman"/>
          <w:color w:val="000000"/>
          <w:sz w:val="24"/>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完工违约金，逾期完工违约金为</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万元/天。乙方支付逾期完工违约金，并不免除乙方完成工程及修补缺陷的义务。</w:t>
      </w:r>
    </w:p>
    <w:p w14:paraId="672C6DFB">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5.材料物资和机械设备</w:t>
      </w:r>
    </w:p>
    <w:p w14:paraId="0BD0C4A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19AB3D8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5.2乙方应自带除甲供机械设备外的其他全部小型工具和专用工具，提供必要的辅助材料。甲方提供的机械设备乙方应妥善使用和保管，用好后及时归还，损坏或丢失由乙方按重置市场价赔偿。</w:t>
      </w:r>
    </w:p>
    <w:p w14:paraId="6F22EF0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5.3甲方提供的材料和机械设备到达工地或指定地点之后，发生的搬运、装卸、整理、清除等所有劳务工作均由</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负责并承担费用。</w:t>
      </w:r>
    </w:p>
    <w:p w14:paraId="36B06404">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6.劳务作业人员管理</w:t>
      </w:r>
    </w:p>
    <w:p w14:paraId="0AE8B07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6.1乙方人员的劳动合同由乙方与其签订，建立劳务人员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39DD9BD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6.2乙方提供的特种作业人员，应取得特种作业上岗操作证书。乙方应对劳务人员进行岗前的业务培训和安全生产教育。</w:t>
      </w:r>
    </w:p>
    <w:p w14:paraId="17F3E52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6.3乙方法定代表人应书面授权一名委托代理人实际履行合同义务并作为有效签字人，并配备相应的管理人员，加强对劳务人员的管理。</w:t>
      </w:r>
    </w:p>
    <w:p w14:paraId="21280C5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4441F0D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6.5乙方不得以任何理由和形式克扣劳务人劳务人员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w:t>
      </w:r>
    </w:p>
    <w:p w14:paraId="473B9E59">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7.劳务作业管理</w:t>
      </w:r>
    </w:p>
    <w:p w14:paraId="3287131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7.1乙方承担的工程内容，不得再行转包或分包，否则视为乙方违约，由此引起的一切责任和损失均由乙方负责。</w:t>
      </w:r>
    </w:p>
    <w:p w14:paraId="29BC2FB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7.2乙方违反合同约定，工程质量未达到合同约定要求的，甲方有权终止合同，并处以</w:t>
      </w:r>
      <w:r>
        <w:rPr>
          <w:rFonts w:hint="eastAsia" w:ascii="仿宋" w:hAnsi="仿宋" w:eastAsia="仿宋" w:cs="Times New Roman"/>
          <w:color w:val="000000"/>
          <w:sz w:val="24"/>
          <w:u w:val="single"/>
        </w:rPr>
        <w:t>1</w:t>
      </w:r>
      <w:r>
        <w:rPr>
          <w:rFonts w:hint="eastAsia" w:ascii="仿宋" w:hAnsi="仿宋" w:eastAsia="仿宋" w:cs="Times New Roman"/>
          <w:color w:val="000000"/>
          <w:sz w:val="24"/>
        </w:rPr>
        <w:t>万元的违约金，并且由此引起的一切损失由乙方负责并赔偿甲方的损失。</w:t>
      </w:r>
    </w:p>
    <w:p w14:paraId="107BAC7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7.3乙方应按甲方规定格式和要求及时报送完整的资料给甲方，配合甲方办理中期计量支付及竣工验收。</w:t>
      </w:r>
    </w:p>
    <w:p w14:paraId="4A5A83EE">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8.安全管理</w:t>
      </w:r>
    </w:p>
    <w:p w14:paraId="471A4539">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8.1乙方应严格按施工方案和操作规程施工，因乙方原因导致的安全事故，由乙方承担责任并负责赔偿。</w:t>
      </w:r>
    </w:p>
    <w:p w14:paraId="6FDC211A">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8.2乙方应配备专职安全员，协助并服从甲方进行安全管理。</w:t>
      </w:r>
    </w:p>
    <w:p w14:paraId="7CDCCC3D">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786FF2EF">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8.4乙方的特种作业人员应持证上岗，证件复印件留甲方备查。</w:t>
      </w:r>
    </w:p>
    <w:p w14:paraId="0A20ECBE">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8.5因乙方原因，导致发生安全事故、治安事件、人身意外事件等，由乙方承担赔偿责任；甲方有权要求乙方进行整改，整改不力的，甲方有权终止本合同，给甲方造成损失的，甲方有权追偿。</w:t>
      </w:r>
    </w:p>
    <w:p w14:paraId="0C34CC06">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9.人员关系管理</w:t>
      </w:r>
    </w:p>
    <w:p w14:paraId="16A292F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达到法定退休年龄的人员。</w:t>
      </w:r>
    </w:p>
    <w:p w14:paraId="13959BCC">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9.2</w:t>
      </w:r>
      <w:r>
        <w:rPr>
          <w:rFonts w:hint="eastAsia" w:ascii="仿宋" w:hAnsi="仿宋" w:eastAsia="仿宋" w:cs="Times New Roman"/>
          <w:sz w:val="24"/>
        </w:rPr>
        <w:t>乙方若未按上述约定进行用工管理，导致乙方工人申请工伤认定、劳动仲裁或提起诉讼而牵连甲方的，每发生一宗乙方应向甲方支付违约金5万元，该费用将从应付给乙方的任何款项内扣除。</w:t>
      </w:r>
    </w:p>
    <w:p w14:paraId="786305E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发生劳动争议仲裁或诉讼后，乙方可自行选择与工人和解或应诉；选择应诉的，甲方将按案件标的的1.3倍暂扣乙方的工程款直至结案。</w:t>
      </w:r>
    </w:p>
    <w:p w14:paraId="0E8FE92E">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9.3</w:t>
      </w:r>
      <w:r>
        <w:rPr>
          <w:rFonts w:hint="eastAsia" w:ascii="仿宋" w:hAnsi="仿宋" w:eastAsia="仿宋" w:cs="Times New Roman"/>
          <w:sz w:val="24"/>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177F795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7E968ED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9.5若乙方拖欠农民工工资，甲方有权利直接从乙方按规定缴纳的工资保证金中扣除相应费用后向农民工进行支付。在分包工程验收合格，乙方出具无拖欠农民工工资承诺后，由甲方一次性退还给乙方。</w:t>
      </w:r>
    </w:p>
    <w:p w14:paraId="4BBC3718">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元，并没收保证金。</w:t>
      </w:r>
    </w:p>
    <w:p w14:paraId="59F47876">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10.保险</w:t>
      </w:r>
    </w:p>
    <w:p w14:paraId="2BB9913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0CB515CA">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11.结算支付</w:t>
      </w:r>
    </w:p>
    <w:p w14:paraId="7F9E5852">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11.1计量支付和结算原则</w:t>
      </w:r>
    </w:p>
    <w:p w14:paraId="187125B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11.1.1</w:t>
      </w:r>
      <w:r>
        <w:rPr>
          <w:rFonts w:hint="eastAsia" w:ascii="仿宋" w:hAnsi="仿宋" w:eastAsia="仿宋" w:cs="Times New Roman"/>
          <w:b/>
          <w:color w:val="000000"/>
          <w:sz w:val="24"/>
        </w:rPr>
        <w:t>甲方按月为结算周期进行计量</w:t>
      </w:r>
      <w:r>
        <w:rPr>
          <w:rFonts w:hint="eastAsia" w:ascii="仿宋" w:hAnsi="仿宋" w:eastAsia="仿宋" w:cs="Times New Roman"/>
          <w:color w:val="000000"/>
          <w:sz w:val="24"/>
        </w:rPr>
        <w:t>，完成工程数量书面确认，验收合格后2个月内完成合同结算，结算数量按业主批复内乙方实际完成的数量进行确认。</w:t>
      </w:r>
    </w:p>
    <w:p w14:paraId="284FFD8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11.1.2甲方只对甲乙双方确认的乙方实际完成的经甲方验收合格的清单劳务作业量进行计量支付，甲方无义务向乙方垫付或预付双方已确认结算工程量之外的工程款。</w:t>
      </w:r>
    </w:p>
    <w:p w14:paraId="0C234C0D">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11.1.3甲方对乙方未达到本合同要求的质量标准的作业量不予计量，乙方应对未达到质量要求的作业项目进行返工，直到质量达到要求后方予以计量，返工费用由乙方承担。</w:t>
      </w:r>
    </w:p>
    <w:p w14:paraId="2D5BDD5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11.1.4本合同涉及的所有期中计量支付、完工结算支付均由甲方支付到乙方在本合同约定的银行账户，无特殊情况下，甲方不接受乙方提供的任何第三方银行账户或委托支付。</w:t>
      </w:r>
    </w:p>
    <w:p w14:paraId="1E6E6D23">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11.1.5支付方式</w:t>
      </w:r>
    </w:p>
    <w:p w14:paraId="6FD513C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乙方同意甲方根据管理需要选择银行转账、支票或供应链金融等方式支付计量款项。</w:t>
      </w:r>
    </w:p>
    <w:p w14:paraId="4FD7B6F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本合同价的</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w:t>
      </w:r>
      <w:r>
        <w:rPr>
          <w:rFonts w:hint="eastAsia" w:ascii="仿宋" w:hAnsi="仿宋" w:eastAsia="仿宋" w:cs="Times New Roman"/>
          <w:color w:val="000000"/>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1765D7F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11.2中期支付</w:t>
      </w:r>
    </w:p>
    <w:p w14:paraId="64F6B53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11.2.1甲方每月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日</w:t>
      </w:r>
      <w:r>
        <w:rPr>
          <w:rFonts w:hint="eastAsia" w:ascii="仿宋" w:hAnsi="仿宋" w:eastAsia="仿宋" w:cs="Times New Roman"/>
          <w:color w:val="000000"/>
          <w:sz w:val="24"/>
        </w:rPr>
        <w:t>前对乙方自上月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日至本月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日完成的合格劳务作业量进行中间计量，扣除保留证金及其他应扣款后款项，由甲方根据自身资金情况决定支付比例和进度。</w:t>
      </w:r>
    </w:p>
    <w:p w14:paraId="4436726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11.2.2扣保留金的比例为甲方确认计量总金额的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%，安全保证金为</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%，暂扣款为</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p>
    <w:p w14:paraId="2D05250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11.2.3农民工工资支付保证金按</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%比例在计量支付时提取，在乙方劳务作业全部完成并出具无拖欠农民工工资承诺后退还。</w:t>
      </w:r>
    </w:p>
    <w:p w14:paraId="7D9D56DD">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11.3完工结算和支付</w:t>
      </w:r>
    </w:p>
    <w:p w14:paraId="50CA7D0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11.3.1乙方负责的劳务合作作业完工</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个月内，甲乙双方按本合同约定的单价和甲乙双方确认的实际完成的劳务作业数量进行完工结算，并签订结算协议。项目竣工验收完成前，累计付款不应超过结算金额的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p>
    <w:p w14:paraId="5F8C0945">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11.3.2在甲方收到业主相应工程款的前提下，在双方签订的劳务合作结算协议经合同审核通过之日起的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天内，甲方向乙方支付除保留金和其他应扣款以外的剩余应付款项。</w:t>
      </w:r>
    </w:p>
    <w:p w14:paraId="6E90365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11.3.3保留金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退还：保留金在竣工验收合格，在业主返还质量保证金后1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sz w:val="24"/>
        </w:rPr>
        <w:t>若施工过程中没有发生安全事故的，安全保证金在竣工验收合格后退还。</w:t>
      </w:r>
      <w:r>
        <w:rPr>
          <w:rFonts w:hint="eastAsia" w:ascii="仿宋" w:hAnsi="仿宋" w:eastAsia="仿宋" w:cs="Times New Roman"/>
          <w:color w:val="000000"/>
          <w:sz w:val="24"/>
        </w:rPr>
        <w:t>暂扣款项目结算后半年内支付。保留金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暂扣款的返还不计任何利息。</w:t>
      </w:r>
    </w:p>
    <w:p w14:paraId="1BB24C38">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11.3.4最后结算支付以甲方审核为准。</w:t>
      </w:r>
    </w:p>
    <w:p w14:paraId="3B02B94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11.3.5乙方与其他第三方的经济、法律、劳资等纠纷申诉牵连到甲方的，如果乙方没有及时妥善解决，甲方有权从乙方保留证金和暂扣款中扣除相应金额给申诉方，并有权要求乙方支付相同金额的违约金。</w:t>
      </w:r>
    </w:p>
    <w:p w14:paraId="6A7DD9FA">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11.3.6乙方因本合同产生的包括但不限于给甲方造成的损失、违约金、处罚款等款项，甲方有权在应付款项中优先扣减，仍不能弥补甲方损失的，甲方有权向乙方继续进行追偿。</w:t>
      </w:r>
    </w:p>
    <w:p w14:paraId="5CEFB1FA">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11.4</w:t>
      </w:r>
      <w:r>
        <w:rPr>
          <w:rFonts w:hint="eastAsia" w:ascii="仿宋" w:hAnsi="仿宋" w:eastAsia="仿宋" w:cs="Times New Roman"/>
          <w:sz w:val="24"/>
        </w:rPr>
        <w:t>跨区域涉税事项报告表</w:t>
      </w:r>
    </w:p>
    <w:p w14:paraId="074F609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乙方在劳务合作合同签订后一个月内，应根据合同提供该项目的跨区域涉税事项报告表，以确保该项目能在当地税务机关申报缴纳税费。</w:t>
      </w:r>
    </w:p>
    <w:p w14:paraId="64EA713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11.5发票的提供</w:t>
      </w:r>
    </w:p>
    <w:p w14:paraId="411D4714">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1F7D73BC">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11.5.2乙方出具发票需同时满足以下原则：</w:t>
      </w:r>
    </w:p>
    <w:p w14:paraId="54B0128D">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11.5.2.1发票金额</w:t>
      </w:r>
    </w:p>
    <w:p w14:paraId="1861A4BF">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乙方向甲方开具发票的金额（价税合计）需严格依据“累计确认结算量与资金支付量孰高原则”。</w:t>
      </w:r>
    </w:p>
    <w:p w14:paraId="48D177C5">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11.5.2.2票面信息</w:t>
      </w:r>
    </w:p>
    <w:p w14:paraId="715B855B">
      <w:pPr>
        <w:spacing w:line="360" w:lineRule="auto"/>
        <w:ind w:firstLine="480" w:firstLineChars="200"/>
        <w:rPr>
          <w:rFonts w:ascii="仿宋" w:hAnsi="仿宋" w:eastAsia="仿宋" w:cs="Times New Roman"/>
          <w:sz w:val="24"/>
        </w:rPr>
      </w:pPr>
      <w:r>
        <w:rPr>
          <w:rFonts w:hint="eastAsia" w:ascii="仿宋" w:hAnsi="仿宋" w:eastAsia="仿宋" w:cs="Times New Roman"/>
          <w:bCs/>
          <w:color w:val="000000"/>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rPr>
        <w:t>发票类别（增值税专用发票或普通发票）与本项目的计税方法（一般计税方法或简易计税方法）匹配。</w:t>
      </w:r>
    </w:p>
    <w:p w14:paraId="68E6186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11.6发票提供的责任</w:t>
      </w:r>
    </w:p>
    <w:p w14:paraId="1D3E094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75EDA24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409698ED">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12.附则</w:t>
      </w:r>
    </w:p>
    <w:p w14:paraId="2771655C">
      <w:pPr>
        <w:autoSpaceDE w:val="0"/>
        <w:autoSpaceDN w:val="0"/>
        <w:adjustRightInd w:val="0"/>
        <w:spacing w:line="360" w:lineRule="auto"/>
        <w:ind w:firstLine="480" w:firstLineChars="200"/>
        <w:contextualSpacing/>
        <w:jc w:val="left"/>
        <w:rPr>
          <w:rFonts w:hint="eastAsia" w:ascii="仿宋" w:hAnsi="仿宋" w:eastAsia="仿宋" w:cs="仿宋"/>
          <w:bCs/>
          <w:kern w:val="0"/>
          <w:sz w:val="24"/>
        </w:rPr>
      </w:pPr>
      <w:r>
        <w:rPr>
          <w:rFonts w:hint="eastAsia" w:ascii="仿宋" w:hAnsi="仿宋" w:eastAsia="仿宋" w:cs="Times New Roman"/>
          <w:color w:val="000000"/>
          <w:sz w:val="24"/>
        </w:rPr>
        <w:t>12.1</w:t>
      </w:r>
      <w:r>
        <w:rPr>
          <w:rFonts w:hint="eastAsia" w:ascii="仿宋" w:hAnsi="仿宋" w:eastAsia="仿宋" w:cs="仿宋"/>
          <w:kern w:val="0"/>
          <w:sz w:val="24"/>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rPr>
        <w:t>公司公章或公司合同专用章</w:t>
      </w:r>
      <w:r>
        <w:rPr>
          <w:rFonts w:hint="eastAsia" w:ascii="仿宋" w:hAnsi="仿宋" w:eastAsia="仿宋" w:cs="仿宋"/>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2FEDBA9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12.2本合同发生纠纷时，当事人双方应及时协商解决。若协商不成的，任何一方可向甲方所在地有管辖权的人民法院提起诉讼。</w:t>
      </w:r>
    </w:p>
    <w:p w14:paraId="5658AB5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12.3本合同一式</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份，甲方执</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份，乙方执</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份，均具有同等效力。</w:t>
      </w:r>
    </w:p>
    <w:p w14:paraId="0EB5E18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12.4本合同若有未尽事宜，经双方协商一致后，可签订补充协议，作为本合同的补充。</w:t>
      </w:r>
    </w:p>
    <w:p w14:paraId="7A7FB2C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12.5本合同自双方代表签字、加盖公章之日起生效，工程完工，甲乙双方签订结算协议，各款项支付等合同义务全面履行完毕后终止。</w:t>
      </w:r>
    </w:p>
    <w:p w14:paraId="14F74579">
      <w:pPr>
        <w:spacing w:line="360" w:lineRule="auto"/>
        <w:ind w:firstLine="480" w:firstLineChars="200"/>
        <w:rPr>
          <w:rFonts w:ascii="仿宋" w:hAnsi="仿宋" w:eastAsia="仿宋" w:cs="Times New Roman"/>
          <w:color w:val="000000"/>
          <w:sz w:val="24"/>
        </w:rPr>
      </w:pPr>
      <w:r>
        <w:rPr>
          <w:rFonts w:ascii="仿宋" w:hAnsi="仿宋" w:eastAsia="仿宋" w:cs="Times New Roman"/>
          <w:color w:val="000000"/>
          <w:sz w:val="24"/>
        </w:rPr>
        <w:t>（</w:t>
      </w:r>
      <w:r>
        <w:rPr>
          <w:rFonts w:hint="eastAsia" w:ascii="仿宋" w:hAnsi="仿宋" w:eastAsia="仿宋" w:cs="Times New Roman"/>
          <w:color w:val="000000"/>
          <w:sz w:val="24"/>
        </w:rPr>
        <w:t>以下无正文）</w:t>
      </w:r>
    </w:p>
    <w:p w14:paraId="249DE6D5">
      <w:pPr>
        <w:spacing w:line="360" w:lineRule="auto"/>
        <w:ind w:firstLine="482" w:firstLineChars="200"/>
        <w:rPr>
          <w:rFonts w:hint="eastAsia" w:ascii="仿宋" w:hAnsi="仿宋" w:eastAsia="仿宋" w:cs="Times New Roman"/>
          <w:b/>
          <w:color w:val="000000"/>
          <w:sz w:val="24"/>
        </w:rPr>
      </w:pPr>
    </w:p>
    <w:p w14:paraId="744F6642">
      <w:pPr>
        <w:spacing w:line="360" w:lineRule="auto"/>
        <w:ind w:firstLine="482" w:firstLineChars="200"/>
        <w:rPr>
          <w:rFonts w:hint="eastAsia" w:ascii="仿宋" w:hAnsi="仿宋" w:eastAsia="仿宋" w:cs="Times New Roman"/>
          <w:b/>
          <w:color w:val="000000"/>
          <w:sz w:val="24"/>
        </w:rPr>
      </w:pPr>
    </w:p>
    <w:p w14:paraId="7398F900">
      <w:pPr>
        <w:pStyle w:val="2"/>
        <w:rPr>
          <w:rFonts w:hint="eastAsia" w:ascii="仿宋" w:hAnsi="仿宋" w:eastAsia="仿宋" w:cs="Times New Roman"/>
          <w:b/>
          <w:color w:val="000000"/>
          <w:sz w:val="24"/>
        </w:rPr>
      </w:pPr>
    </w:p>
    <w:p w14:paraId="732C1C4D">
      <w:pPr>
        <w:pStyle w:val="3"/>
        <w:rPr>
          <w:rFonts w:hint="eastAsia"/>
        </w:rPr>
      </w:pPr>
    </w:p>
    <w:p w14:paraId="78B64DFF">
      <w:pPr>
        <w:wordWrap w:val="0"/>
        <w:spacing w:before="200" w:after="160"/>
        <w:ind w:left="864" w:right="864"/>
        <w:jc w:val="center"/>
        <w:rPr>
          <w:rFonts w:hint="eastAsia" w:ascii="Times New Roman" w:hAnsi="Times New Roman" w:eastAsia="宋体" w:cs="Times New Roman"/>
          <w:i/>
          <w:iCs/>
          <w:sz w:val="21"/>
          <w:szCs w:val="21"/>
          <w:lang w:val="en-US" w:eastAsia="zh-CN" w:bidi="ar-SA"/>
        </w:rPr>
      </w:pPr>
    </w:p>
    <w:p w14:paraId="3F2FA582">
      <w:pPr>
        <w:spacing w:line="360" w:lineRule="auto"/>
        <w:ind w:left="6000" w:hanging="6000" w:hangingChars="2500"/>
        <w:rPr>
          <w:rFonts w:hint="eastAsia" w:ascii="仿宋" w:hAnsi="仿宋" w:eastAsia="仿宋" w:cs="Times New Roman"/>
          <w:color w:val="000000"/>
          <w:sz w:val="24"/>
        </w:rPr>
      </w:pPr>
      <w:r>
        <w:rPr>
          <w:rFonts w:hint="eastAsia" w:ascii="仿宋" w:hAnsi="仿宋" w:eastAsia="仿宋" w:cs="Times New Roman"/>
          <w:color w:val="000000"/>
          <w:sz w:val="24"/>
        </w:rPr>
        <w:t>甲方：(盖章)</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乙方：(盖章)</w:t>
      </w:r>
    </w:p>
    <w:p w14:paraId="57E3FE3F">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法定代表人：(签字)                            法定代表人：(签字)</w:t>
      </w:r>
    </w:p>
    <w:p w14:paraId="16DA65CD">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委托代理人：(签字)                            委托代理人：(签字)</w:t>
      </w:r>
    </w:p>
    <w:p w14:paraId="6684799A">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地址：                                        地址：</w:t>
      </w:r>
    </w:p>
    <w:p w14:paraId="335D33CB">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电话：                                        电话：</w:t>
      </w:r>
    </w:p>
    <w:p w14:paraId="78534992">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开户银行：                                    开户银行：</w:t>
      </w:r>
    </w:p>
    <w:p w14:paraId="200751F2">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银行帐号：                                    银行帐号：</w:t>
      </w:r>
    </w:p>
    <w:p w14:paraId="7CC3E81C">
      <w:pPr>
        <w:tabs>
          <w:tab w:val="left" w:pos="5220"/>
        </w:tabs>
        <w:spacing w:line="360" w:lineRule="auto"/>
        <w:rPr>
          <w:rFonts w:hint="eastAsia" w:ascii="仿宋" w:hAnsi="仿宋" w:eastAsia="仿宋" w:cs="Times New Roman"/>
          <w:sz w:val="24"/>
        </w:rPr>
      </w:pPr>
      <w:r>
        <w:rPr>
          <w:rFonts w:hint="eastAsia" w:ascii="仿宋" w:hAnsi="仿宋" w:eastAsia="仿宋" w:cs="Times New Roman"/>
          <w:color w:val="000000"/>
          <w:sz w:val="24"/>
        </w:rPr>
        <w:t>签订时间：                                    签订时间</w:t>
      </w:r>
      <w:r>
        <w:rPr>
          <w:rFonts w:hint="eastAsia" w:ascii="仿宋_GB2312" w:hAnsi="Times New Roman" w:eastAsia="仿宋_GB2312" w:cs="Times New Roman"/>
          <w:color w:val="000000"/>
          <w:sz w:val="24"/>
        </w:rPr>
        <w:t>：</w:t>
      </w:r>
    </w:p>
    <w:p w14:paraId="66471209">
      <w:pPr>
        <w:rPr>
          <w:rFonts w:hint="eastAsia"/>
          <w:lang w:val="en-US" w:eastAsia="zh-CN"/>
        </w:rPr>
      </w:pPr>
      <w:r>
        <w:rPr>
          <w:rFonts w:hint="eastAsia"/>
          <w:lang w:val="en-US" w:eastAsia="zh-CN"/>
        </w:rPr>
        <w:br w:type="page"/>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惠东县平海镇城镇污水管网及雨污分流建设工程一惠东县平海镇城镇雨污分流建设工程(二期)施工</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（编号01号）施工劳务合作（道路工程、交通工程、土方工程、排水工程、污水工程、雨水工程、恢复工程劳务分包）</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竞价</w:t>
      </w:r>
      <w:r>
        <w:rPr>
          <w:rFonts w:hint="eastAsia" w:ascii="宋体" w:hAnsi="宋体" w:eastAsia="宋体" w:cs="宋体"/>
          <w:b/>
          <w:bCs/>
          <w:color w:val="auto"/>
          <w:kern w:val="2"/>
          <w:sz w:val="36"/>
          <w:szCs w:val="36"/>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35A2878-1226-4840-8E71-652125651DC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4BE43A6B-9ED4-476A-A87B-107002E88AB9}"/>
  </w:font>
  <w:font w:name="仿宋">
    <w:panose1 w:val="02010609060101010101"/>
    <w:charset w:val="86"/>
    <w:family w:val="auto"/>
    <w:pitch w:val="default"/>
    <w:sig w:usb0="800002BF" w:usb1="38CF7CFA" w:usb2="00000016" w:usb3="00000000" w:csb0="00040001" w:csb1="00000000"/>
    <w:embedRegular r:id="rId3" w:fontKey="{A1765F6E-C977-4682-BEBC-3DED03586065}"/>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embedRegular r:id="rId4" w:fontKey="{D19BE792-C206-4E70-A6BD-298E495E3F04}"/>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5" w:fontKey="{3D2F2557-DE8C-489A-BD6B-832385825EFD}"/>
  </w:font>
  <w:font w:name="仿宋_GB2312">
    <w:altName w:val="仿宋"/>
    <w:panose1 w:val="02010609030101010101"/>
    <w:charset w:val="86"/>
    <w:family w:val="modern"/>
    <w:pitch w:val="default"/>
    <w:sig w:usb0="00000000" w:usb1="00000000" w:usb2="00000000" w:usb3="00000000" w:csb0="00040000" w:csb1="00000000"/>
    <w:embedRegular r:id="rId6" w:fontKey="{1847101B-588E-49C5-98D1-9D2107E223E2}"/>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4006FF9"/>
    <w:rsid w:val="1673393D"/>
    <w:rsid w:val="19B141B7"/>
    <w:rsid w:val="1AEF2BB7"/>
    <w:rsid w:val="29D100AA"/>
    <w:rsid w:val="2B7B2642"/>
    <w:rsid w:val="30D675AD"/>
    <w:rsid w:val="31C33762"/>
    <w:rsid w:val="34A80A94"/>
    <w:rsid w:val="397C1A69"/>
    <w:rsid w:val="3B7579C8"/>
    <w:rsid w:val="3E374C21"/>
    <w:rsid w:val="403F7575"/>
    <w:rsid w:val="412933DD"/>
    <w:rsid w:val="43424991"/>
    <w:rsid w:val="45834DF5"/>
    <w:rsid w:val="45E14C32"/>
    <w:rsid w:val="4A537A00"/>
    <w:rsid w:val="4D496E6B"/>
    <w:rsid w:val="50B709F1"/>
    <w:rsid w:val="5C1B2DDE"/>
    <w:rsid w:val="5D747763"/>
    <w:rsid w:val="604B6F0C"/>
    <w:rsid w:val="62406095"/>
    <w:rsid w:val="672A074E"/>
    <w:rsid w:val="68107747"/>
    <w:rsid w:val="68AD4C9B"/>
    <w:rsid w:val="6A0F69AC"/>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Normal (Web)"/>
    <w:qFormat/>
    <w:uiPriority w:val="0"/>
    <w:pPr>
      <w:framePr w:wrap="around" w:vAnchor="margin" w:hAnchor="text" w:y="1"/>
      <w:spacing w:beforeAutospacing="1" w:afterAutospacing="1"/>
    </w:pPr>
    <w:rPr>
      <w:rFonts w:ascii="Times New Roman" w:hAnsi="Times New Roman" w:eastAsia="Arial Unicode MS" w:cs="Times New Roman"/>
      <w:sz w:val="24"/>
      <w:szCs w:val="24"/>
      <w:lang w:val="en-US" w:eastAsia="zh-CN" w:bidi="ar-SA"/>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2">
    <w:name w:val="Strong"/>
    <w:qFormat/>
    <w:uiPriority w:val="0"/>
    <w:rPr>
      <w:b/>
      <w:bCs/>
    </w:rPr>
  </w:style>
  <w:style w:type="character" w:styleId="13">
    <w:name w:val="page number"/>
    <w:qFormat/>
    <w:uiPriority w:val="0"/>
  </w:style>
  <w:style w:type="character" w:customStyle="1" w:styleId="14">
    <w:name w:val="font121"/>
    <w:basedOn w:val="11"/>
    <w:qFormat/>
    <w:uiPriority w:val="0"/>
    <w:rPr>
      <w:rFonts w:hint="eastAsia" w:ascii="宋体" w:hAnsi="宋体" w:eastAsia="宋体" w:cs="宋体"/>
      <w:color w:val="000000"/>
      <w:sz w:val="28"/>
      <w:szCs w:val="28"/>
      <w:u w:val="none"/>
    </w:rPr>
  </w:style>
  <w:style w:type="character" w:customStyle="1" w:styleId="15">
    <w:name w:val="font31"/>
    <w:basedOn w:val="11"/>
    <w:qFormat/>
    <w:uiPriority w:val="0"/>
    <w:rPr>
      <w:rFonts w:hint="eastAsia" w:ascii="宋体" w:hAnsi="宋体" w:eastAsia="宋体" w:cs="宋体"/>
      <w:b/>
      <w:bCs/>
      <w:color w:val="000000"/>
      <w:sz w:val="48"/>
      <w:szCs w:val="48"/>
      <w:u w:val="none"/>
    </w:rPr>
  </w:style>
  <w:style w:type="character" w:customStyle="1" w:styleId="16">
    <w:name w:val="font112"/>
    <w:basedOn w:val="11"/>
    <w:qFormat/>
    <w:uiPriority w:val="0"/>
    <w:rPr>
      <w:rFonts w:hint="eastAsia" w:ascii="宋体" w:hAnsi="宋体" w:eastAsia="宋体" w:cs="宋体"/>
      <w:color w:val="000000"/>
      <w:sz w:val="28"/>
      <w:szCs w:val="28"/>
      <w:u w:val="none"/>
    </w:rPr>
  </w:style>
  <w:style w:type="character" w:customStyle="1" w:styleId="17">
    <w:name w:val="font101"/>
    <w:basedOn w:val="11"/>
    <w:qFormat/>
    <w:uiPriority w:val="0"/>
    <w:rPr>
      <w:rFonts w:hint="eastAsia" w:ascii="宋体" w:hAnsi="宋体" w:eastAsia="宋体" w:cs="宋体"/>
      <w:color w:val="000000"/>
      <w:sz w:val="28"/>
      <w:szCs w:val="28"/>
      <w:u w:val="none"/>
    </w:rPr>
  </w:style>
  <w:style w:type="character" w:customStyle="1" w:styleId="18">
    <w:name w:val="font21"/>
    <w:basedOn w:val="11"/>
    <w:qFormat/>
    <w:uiPriority w:val="0"/>
    <w:rPr>
      <w:rFonts w:hint="eastAsia" w:ascii="宋体" w:hAnsi="宋体" w:eastAsia="宋体" w:cs="宋体"/>
      <w:color w:val="000000"/>
      <w:sz w:val="24"/>
      <w:szCs w:val="24"/>
      <w:u w:val="none"/>
    </w:rPr>
  </w:style>
  <w:style w:type="character" w:customStyle="1" w:styleId="19">
    <w:name w:val="font91"/>
    <w:basedOn w:val="11"/>
    <w:qFormat/>
    <w:uiPriority w:val="0"/>
    <w:rPr>
      <w:rFonts w:hint="eastAsia" w:ascii="宋体" w:hAnsi="宋体" w:eastAsia="宋体" w:cs="宋体"/>
      <w:b/>
      <w:bCs/>
      <w:color w:val="000000"/>
      <w:sz w:val="40"/>
      <w:szCs w:val="40"/>
      <w:u w:val="none"/>
    </w:rPr>
  </w:style>
  <w:style w:type="character" w:customStyle="1" w:styleId="20">
    <w:name w:val="font51"/>
    <w:basedOn w:val="11"/>
    <w:qFormat/>
    <w:uiPriority w:val="0"/>
    <w:rPr>
      <w:rFonts w:hint="eastAsia" w:ascii="宋体" w:hAnsi="宋体" w:eastAsia="宋体" w:cs="宋体"/>
      <w:b/>
      <w:bCs/>
      <w:color w:val="000000"/>
      <w:sz w:val="20"/>
      <w:szCs w:val="20"/>
      <w:u w:val="none"/>
    </w:rPr>
  </w:style>
  <w:style w:type="character" w:customStyle="1" w:styleId="21">
    <w:name w:val="font81"/>
    <w:qFormat/>
    <w:uiPriority w:val="0"/>
    <w:rPr>
      <w:rFonts w:hint="eastAsia" w:ascii="宋体" w:hAnsi="宋体" w:eastAsia="宋体" w:cs="宋体"/>
      <w:color w:val="000000"/>
      <w:sz w:val="24"/>
      <w:szCs w:val="24"/>
      <w:u w:val="none"/>
    </w:rPr>
  </w:style>
  <w:style w:type="character" w:customStyle="1" w:styleId="22">
    <w:name w:val="font131"/>
    <w:basedOn w:val="11"/>
    <w:qFormat/>
    <w:uiPriority w:val="0"/>
    <w:rPr>
      <w:rFonts w:hint="eastAsia" w:ascii="仿宋" w:hAnsi="仿宋" w:eastAsia="仿宋" w:cs="仿宋"/>
      <w:color w:val="000000"/>
      <w:sz w:val="24"/>
      <w:szCs w:val="24"/>
      <w:u w:val="single"/>
    </w:rPr>
  </w:style>
  <w:style w:type="character" w:customStyle="1" w:styleId="23">
    <w:name w:val="font61"/>
    <w:basedOn w:val="11"/>
    <w:qFormat/>
    <w:uiPriority w:val="0"/>
    <w:rPr>
      <w:rFonts w:hint="eastAsia" w:ascii="仿宋" w:hAnsi="仿宋" w:eastAsia="仿宋" w:cs="仿宋"/>
      <w:color w:val="000000"/>
      <w:sz w:val="24"/>
      <w:szCs w:val="24"/>
      <w:u w:val="none"/>
    </w:rPr>
  </w:style>
  <w:style w:type="character" w:customStyle="1" w:styleId="24">
    <w:name w:val="font122"/>
    <w:basedOn w:val="11"/>
    <w:qFormat/>
    <w:uiPriority w:val="0"/>
    <w:rPr>
      <w:rFonts w:hint="eastAsia" w:ascii="仿宋" w:hAnsi="仿宋" w:eastAsia="仿宋" w:cs="仿宋"/>
      <w:color w:val="000000"/>
      <w:sz w:val="24"/>
      <w:szCs w:val="24"/>
      <w:u w:val="single"/>
    </w:rPr>
  </w:style>
  <w:style w:type="character" w:customStyle="1" w:styleId="25">
    <w:name w:val="font141"/>
    <w:basedOn w:val="11"/>
    <w:qFormat/>
    <w:uiPriority w:val="0"/>
    <w:rPr>
      <w:rFonts w:hint="eastAsia" w:ascii="仿宋" w:hAnsi="仿宋" w:eastAsia="仿宋" w:cs="仿宋"/>
      <w:color w:val="000000"/>
      <w:sz w:val="24"/>
      <w:szCs w:val="24"/>
      <w:u w:val="single"/>
    </w:rPr>
  </w:style>
  <w:style w:type="paragraph" w:customStyle="1" w:styleId="26">
    <w:name w:val="BodyText1I2"/>
    <w:next w:val="1"/>
    <w:autoRedefine/>
    <w:qFormat/>
    <w:uiPriority w:val="0"/>
    <w:pPr>
      <w:framePr w:wrap="around" w:vAnchor="margin" w:hAnchor="text" w:y="1"/>
      <w:widowControl/>
      <w:spacing w:line="357" w:lineRule="atLeast"/>
      <w:ind w:firstLine="525"/>
      <w:textAlignment w:val="baseline"/>
    </w:pPr>
    <w:rPr>
      <w:rFonts w:ascii="Times New Roman" w:hAnsi="Calibri" w:eastAsia="Times New Roman" w:cs="Times New Roman"/>
      <w:color w:val="000000"/>
      <w:sz w:val="28"/>
      <w:szCs w:val="22"/>
      <w:lang w:val="en-US" w:eastAsia="en-US" w:bidi="ar-SA"/>
    </w:rPr>
  </w:style>
  <w:style w:type="paragraph" w:customStyle="1" w:styleId="27">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28">
    <w:name w:val="font4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1273</Words>
  <Characters>1448</Characters>
  <Lines>0</Lines>
  <Paragraphs>0</Paragraphs>
  <TotalTime>5</TotalTime>
  <ScaleCrop>false</ScaleCrop>
  <LinksUpToDate>false</LinksUpToDate>
  <CharactersWithSpaces>1493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2026-01-12T07:53:00Z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FCBE04A56DA44C3C9C8F558C9A33D721_13</vt:lpwstr>
  </property>
  <property fmtid="{D5CDD505-2E9C-101B-9397-08002B2CF9AE}" pid="4" name="KSOTemplateDocerSaveRecord">
    <vt:lpwstr>eyJoZGlkIjoiZTcwNDdlYTI1OTFhMDMyZjIzNDQ4NGFmYzk0ZjJkYmQiLCJ1c2VySWQiOiIxNjY4MjkxOTUwIn0=</vt:lpwstr>
  </property>
</Properties>
</file>