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惠东县水质提升工程项目（黄埠镇盐洲片区）</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（编号09号）钢筋</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2025年7月10日</w:t>
      </w:r>
    </w:p>
    <w:p w14:paraId="06E7D5EF">
      <w:pPr>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13</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22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）的委托，诚邀国内合格参选人就惠东县水质提升工程项目（黄埠镇盐洲片区）（编号09号）钢筋</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7470439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bookmarkStart w:id="1" w:name="OLE_LINK2"/>
      <w:r>
        <w:rPr>
          <w:rFonts w:hint="eastAsia" w:ascii="宋体" w:hAnsi="宋体" w:eastAsia="宋体" w:cs="宋体"/>
          <w:b w:val="0"/>
          <w:bCs w:val="0"/>
          <w:color w:val="auto"/>
          <w:kern w:val="2"/>
          <w:sz w:val="28"/>
          <w:szCs w:val="28"/>
          <w:highlight w:val="none"/>
          <w:u w:color="000000"/>
          <w:lang w:val="en-US" w:eastAsia="zh-CN" w:bidi="ar-SA"/>
        </w:rPr>
        <w:t>新建闸式截流井5座，新建闸门5座；新建污水管管径DN200～DN500，合计长度5.2km；新建接户管管径DN160，合计长度3km；新建污水处理厂1座，近期设计处理规模2000m3/d，远期新增3000m3/d，总设计处理规模5000m3/d，污水处理主体工艺采用“反应沉淀一体式生物反应器+高效沉淀深度处理”。</w:t>
      </w:r>
      <w:bookmarkEnd w:id="1"/>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主要施工内容为:项目顶管、牵引管施工，污水处理厂主体结</w:t>
      </w:r>
      <w:bookmarkStart w:id="22" w:name="_GoBack"/>
      <w:bookmarkEnd w:id="22"/>
      <w:r>
        <w:rPr>
          <w:rFonts w:hint="eastAsia" w:ascii="宋体" w:hAnsi="宋体" w:eastAsia="宋体" w:cs="宋体"/>
          <w:b w:val="0"/>
          <w:bCs w:val="0"/>
          <w:color w:val="auto"/>
          <w:kern w:val="2"/>
          <w:sz w:val="28"/>
          <w:szCs w:val="28"/>
          <w:highlight w:val="none"/>
          <w:u w:color="000000"/>
          <w:lang w:val="en-US" w:eastAsia="zh-CN" w:bidi="ar-SA"/>
        </w:rPr>
        <w:t>构及装修。（详见施工图纸）。</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承包人现场施工所需的钢筋</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2025年7月17日12:00。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公告发布时间：2025年7月10日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2" w:name="_Toc7164"/>
      <w:bookmarkStart w:id="3" w:name="_Toc229646710"/>
      <w:bookmarkStart w:id="4" w:name="_Toc152045528"/>
      <w:bookmarkStart w:id="5" w:name="_Toc21380"/>
      <w:bookmarkStart w:id="6" w:name="_Toc392345907"/>
      <w:bookmarkStart w:id="7" w:name="_Toc152042304"/>
      <w:bookmarkStart w:id="8" w:name="_Toc16761"/>
      <w:bookmarkStart w:id="9" w:name="_Toc500491903"/>
      <w:bookmarkStart w:id="10" w:name="_Toc144974496"/>
      <w:bookmarkStart w:id="11" w:name="_Toc16780"/>
      <w:bookmarkStart w:id="12" w:name="_Toc31806"/>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3"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2"/>
      <w:bookmarkEnd w:id="3"/>
      <w:bookmarkEnd w:id="4"/>
      <w:bookmarkEnd w:id="5"/>
      <w:bookmarkEnd w:id="6"/>
      <w:bookmarkEnd w:id="7"/>
      <w:bookmarkEnd w:id="8"/>
      <w:bookmarkEnd w:id="9"/>
      <w:bookmarkEnd w:id="10"/>
      <w:bookmarkEnd w:id="11"/>
      <w:bookmarkEnd w:id="12"/>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3"/>
    </w:p>
    <w:tbl>
      <w:tblPr>
        <w:tblStyle w:val="9"/>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33"/>
        <w:gridCol w:w="5941"/>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惠东县水质提升工程项目（黄埠镇盐洲片区）（编号09号）钢筋</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承包人现场施工所需的钢筋</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7月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2025年7月17日12:00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惠东县水质提升工程项目（黄埠镇盐洲片区）（编号09号）钢筋</w:t>
      </w:r>
    </w:p>
    <w:tbl>
      <w:tblPr>
        <w:tblStyle w:val="9"/>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0BCE59F5">
      <w:pPr>
        <w:rPr>
          <w:rFonts w:hint="eastAsia" w:ascii="宋体" w:hAnsi="宋体" w:eastAsia="宋体" w:cs="宋体"/>
          <w:b/>
          <w:bCs/>
          <w:color w:val="auto"/>
          <w:sz w:val="32"/>
          <w:szCs w:val="32"/>
          <w:highlight w:val="none"/>
          <w:lang w:eastAsia="zh-CN"/>
        </w:rPr>
        <w:sectPr>
          <w:footerReference r:id="rId5"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4"/>
    </w:p>
    <w:p w14:paraId="5F2D2D3F">
      <w:pPr>
        <w:jc w:val="center"/>
        <w:rPr>
          <w:rFonts w:hint="eastAsia" w:asciiTheme="minorEastAsia" w:hAnsiTheme="minorEastAsia" w:eastAsiaTheme="minorEastAsia" w:cstheme="minorEastAsia"/>
          <w:i w:val="0"/>
          <w:iCs w:val="0"/>
          <w:color w:val="000000" w:themeColor="text1"/>
          <w:kern w:val="0"/>
          <w:sz w:val="44"/>
          <w:szCs w:val="44"/>
          <w:highlight w:val="none"/>
          <w:u w:val="none"/>
          <w:lang w:val="en-US" w:eastAsia="zh-CN" w:bidi="ar"/>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40"/>
          <w:szCs w:val="40"/>
          <w:highlight w:val="none"/>
          <w:u w:val="none"/>
          <w:lang w:val="en-US" w:eastAsia="zh-CN" w:bidi="ar"/>
          <w14:textFill>
            <w14:solidFill>
              <w14:schemeClr w14:val="tx1"/>
            </w14:solidFill>
          </w14:textFill>
        </w:rPr>
        <w:t>钢筋材料报价清单</w:t>
      </w:r>
    </w:p>
    <w:p w14:paraId="6208C28A">
      <w:pPr>
        <w:widowControl w:val="0"/>
        <w:spacing w:after="120"/>
        <w:jc w:val="both"/>
        <w:rPr>
          <w:rFonts w:hint="eastAsia" w:asciiTheme="minorEastAsia" w:hAnsiTheme="minorEastAsia" w:eastAsiaTheme="minorEastAsia" w:cstheme="minorEastAsia"/>
          <w:kern w:val="2"/>
          <w:sz w:val="22"/>
          <w:szCs w:val="22"/>
          <w:lang w:val="en-US" w:eastAsia="zh-CN" w:bidi="ar-SA"/>
        </w:rPr>
      </w:pPr>
      <w:r>
        <w:rPr>
          <w:rFonts w:hint="eastAsia" w:asciiTheme="minorEastAsia" w:hAnsiTheme="minorEastAsia" w:eastAsiaTheme="minorEastAsia" w:cstheme="minorEastAsia"/>
          <w:i w:val="0"/>
          <w:iCs w:val="0"/>
          <w:color w:val="000000" w:themeColor="text1"/>
          <w:kern w:val="0"/>
          <w:sz w:val="22"/>
          <w:szCs w:val="22"/>
          <w:highlight w:val="none"/>
          <w:u w:val="none"/>
          <w:lang w:val="en-US" w:eastAsia="zh-CN" w:bidi="ar"/>
          <w14:textFill>
            <w14:solidFill>
              <w14:schemeClr w14:val="tx1"/>
            </w14:solidFill>
          </w14:textFill>
        </w:rPr>
        <w:t>项目名称:惠东县水质提升工程项目（黄埠镇盐洲片区）</w:t>
      </w:r>
    </w:p>
    <w:tbl>
      <w:tblPr>
        <w:tblStyle w:val="9"/>
        <w:tblW w:w="9033" w:type="dxa"/>
        <w:jc w:val="center"/>
        <w:tblLayout w:type="autofit"/>
        <w:tblCellMar>
          <w:top w:w="0" w:type="dxa"/>
          <w:left w:w="108" w:type="dxa"/>
          <w:bottom w:w="0" w:type="dxa"/>
          <w:right w:w="108" w:type="dxa"/>
        </w:tblCellMar>
      </w:tblPr>
      <w:tblGrid>
        <w:gridCol w:w="716"/>
        <w:gridCol w:w="1345"/>
        <w:gridCol w:w="776"/>
        <w:gridCol w:w="716"/>
        <w:gridCol w:w="1139"/>
        <w:gridCol w:w="1276"/>
        <w:gridCol w:w="1865"/>
        <w:gridCol w:w="1200"/>
      </w:tblGrid>
      <w:tr w14:paraId="5A48592C">
        <w:tblPrEx>
          <w:tblCellMar>
            <w:top w:w="0" w:type="dxa"/>
            <w:left w:w="108" w:type="dxa"/>
            <w:bottom w:w="0" w:type="dxa"/>
            <w:right w:w="108" w:type="dxa"/>
          </w:tblCellMar>
        </w:tblPrEx>
        <w:trPr>
          <w:trHeight w:val="897" w:hRule="atLeast"/>
          <w:jc w:val="center"/>
        </w:trPr>
        <w:tc>
          <w:tcPr>
            <w:tcW w:w="720" w:type="dxa"/>
            <w:tcBorders>
              <w:top w:val="single" w:color="auto" w:sz="4" w:space="0"/>
              <w:left w:val="single" w:color="auto" w:sz="4" w:space="0"/>
              <w:bottom w:val="single" w:color="auto" w:sz="4" w:space="0"/>
              <w:right w:val="single" w:color="auto" w:sz="4" w:space="0"/>
            </w:tcBorders>
            <w:noWrap w:val="0"/>
            <w:vAlign w:val="center"/>
          </w:tcPr>
          <w:p w14:paraId="024E77E2">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序号</w:t>
            </w:r>
          </w:p>
        </w:tc>
        <w:tc>
          <w:tcPr>
            <w:tcW w:w="1360" w:type="dxa"/>
            <w:tcBorders>
              <w:top w:val="single" w:color="auto" w:sz="4" w:space="0"/>
              <w:left w:val="nil"/>
              <w:bottom w:val="single" w:color="auto" w:sz="4" w:space="0"/>
              <w:right w:val="single" w:color="auto" w:sz="4" w:space="0"/>
            </w:tcBorders>
            <w:noWrap w:val="0"/>
            <w:vAlign w:val="center"/>
          </w:tcPr>
          <w:p w14:paraId="6B66A01F">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名称</w:t>
            </w:r>
          </w:p>
        </w:tc>
        <w:tc>
          <w:tcPr>
            <w:tcW w:w="720" w:type="dxa"/>
            <w:tcBorders>
              <w:top w:val="single" w:color="auto" w:sz="4" w:space="0"/>
              <w:left w:val="nil"/>
              <w:bottom w:val="single" w:color="auto" w:sz="4" w:space="0"/>
              <w:right w:val="single" w:color="auto" w:sz="4" w:space="0"/>
            </w:tcBorders>
            <w:noWrap w:val="0"/>
            <w:vAlign w:val="center"/>
          </w:tcPr>
          <w:p w14:paraId="6693D5AD">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规格</w:t>
            </w:r>
          </w:p>
        </w:tc>
        <w:tc>
          <w:tcPr>
            <w:tcW w:w="720" w:type="dxa"/>
            <w:tcBorders>
              <w:top w:val="single" w:color="auto" w:sz="4" w:space="0"/>
              <w:left w:val="nil"/>
              <w:bottom w:val="single" w:color="auto" w:sz="4" w:space="0"/>
              <w:right w:val="single" w:color="auto" w:sz="4" w:space="0"/>
            </w:tcBorders>
            <w:noWrap w:val="0"/>
            <w:vAlign w:val="center"/>
          </w:tcPr>
          <w:p w14:paraId="64523ACA">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单位</w:t>
            </w:r>
          </w:p>
        </w:tc>
        <w:tc>
          <w:tcPr>
            <w:tcW w:w="1140" w:type="dxa"/>
            <w:tcBorders>
              <w:top w:val="single" w:color="auto" w:sz="4" w:space="0"/>
              <w:left w:val="nil"/>
              <w:bottom w:val="single" w:color="auto" w:sz="4" w:space="0"/>
              <w:right w:val="single" w:color="auto" w:sz="4" w:space="0"/>
            </w:tcBorders>
            <w:noWrap w:val="0"/>
            <w:vAlign w:val="center"/>
          </w:tcPr>
          <w:p w14:paraId="62374E6A">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数量</w:t>
            </w:r>
          </w:p>
        </w:tc>
        <w:tc>
          <w:tcPr>
            <w:tcW w:w="1280" w:type="dxa"/>
            <w:tcBorders>
              <w:top w:val="single" w:color="auto" w:sz="4" w:space="0"/>
              <w:left w:val="nil"/>
              <w:bottom w:val="single" w:color="auto" w:sz="4" w:space="0"/>
              <w:right w:val="single" w:color="auto" w:sz="4" w:space="0"/>
            </w:tcBorders>
            <w:noWrap w:val="0"/>
            <w:vAlign w:val="center"/>
          </w:tcPr>
          <w:p w14:paraId="5F33F984">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除税单价（元）</w:t>
            </w:r>
          </w:p>
        </w:tc>
        <w:tc>
          <w:tcPr>
            <w:tcW w:w="1880" w:type="dxa"/>
            <w:tcBorders>
              <w:top w:val="single" w:color="auto" w:sz="4" w:space="0"/>
              <w:left w:val="nil"/>
              <w:bottom w:val="single" w:color="auto" w:sz="4" w:space="0"/>
              <w:right w:val="single" w:color="auto" w:sz="4" w:space="0"/>
            </w:tcBorders>
            <w:noWrap w:val="0"/>
            <w:vAlign w:val="center"/>
          </w:tcPr>
          <w:p w14:paraId="19BAD676">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除税合计金额（元）</w:t>
            </w:r>
          </w:p>
        </w:tc>
        <w:tc>
          <w:tcPr>
            <w:tcW w:w="1213" w:type="dxa"/>
            <w:tcBorders>
              <w:top w:val="single" w:color="auto" w:sz="4" w:space="0"/>
              <w:left w:val="nil"/>
              <w:bottom w:val="single" w:color="auto" w:sz="4" w:space="0"/>
              <w:right w:val="single" w:color="auto" w:sz="4" w:space="0"/>
            </w:tcBorders>
            <w:noWrap w:val="0"/>
            <w:vAlign w:val="center"/>
          </w:tcPr>
          <w:p w14:paraId="6DA6A238">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备注</w:t>
            </w:r>
          </w:p>
        </w:tc>
      </w:tr>
      <w:tr w14:paraId="1EF24723">
        <w:tblPrEx>
          <w:tblCellMar>
            <w:top w:w="0" w:type="dxa"/>
            <w:left w:w="108" w:type="dxa"/>
            <w:bottom w:w="0" w:type="dxa"/>
            <w:right w:w="108" w:type="dxa"/>
          </w:tblCellMar>
        </w:tblPrEx>
        <w:trPr>
          <w:trHeight w:val="515" w:hRule="atLeast"/>
          <w:jc w:val="center"/>
        </w:trPr>
        <w:tc>
          <w:tcPr>
            <w:tcW w:w="720" w:type="dxa"/>
            <w:tcBorders>
              <w:top w:val="nil"/>
              <w:left w:val="single" w:color="auto" w:sz="4" w:space="0"/>
              <w:bottom w:val="single" w:color="auto" w:sz="4" w:space="0"/>
              <w:right w:val="single" w:color="auto" w:sz="4" w:space="0"/>
            </w:tcBorders>
            <w:noWrap w:val="0"/>
            <w:vAlign w:val="center"/>
          </w:tcPr>
          <w:p w14:paraId="5D6F1EB9">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1</w:t>
            </w:r>
          </w:p>
        </w:tc>
        <w:tc>
          <w:tcPr>
            <w:tcW w:w="1360" w:type="dxa"/>
            <w:tcBorders>
              <w:top w:val="nil"/>
              <w:left w:val="nil"/>
              <w:bottom w:val="single" w:color="auto" w:sz="4" w:space="0"/>
              <w:right w:val="single" w:color="auto" w:sz="4" w:space="0"/>
            </w:tcBorders>
            <w:noWrap w:val="0"/>
            <w:vAlign w:val="center"/>
          </w:tcPr>
          <w:p w14:paraId="69BD8A1F">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圆钢</w:t>
            </w:r>
          </w:p>
        </w:tc>
        <w:tc>
          <w:tcPr>
            <w:tcW w:w="720" w:type="dxa"/>
            <w:tcBorders>
              <w:top w:val="nil"/>
              <w:left w:val="nil"/>
              <w:bottom w:val="single" w:color="auto" w:sz="4" w:space="0"/>
              <w:right w:val="single" w:color="auto" w:sz="4" w:space="0"/>
            </w:tcBorders>
            <w:noWrap w:val="0"/>
            <w:vAlign w:val="center"/>
          </w:tcPr>
          <w:p w14:paraId="445F3031">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Ф8</w:t>
            </w:r>
          </w:p>
        </w:tc>
        <w:tc>
          <w:tcPr>
            <w:tcW w:w="720" w:type="dxa"/>
            <w:tcBorders>
              <w:top w:val="nil"/>
              <w:left w:val="nil"/>
              <w:bottom w:val="single" w:color="auto" w:sz="4" w:space="0"/>
              <w:right w:val="single" w:color="auto" w:sz="4" w:space="0"/>
            </w:tcBorders>
            <w:noWrap w:val="0"/>
            <w:vAlign w:val="center"/>
          </w:tcPr>
          <w:p w14:paraId="3A7C12FF">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T</w:t>
            </w:r>
          </w:p>
        </w:tc>
        <w:tc>
          <w:tcPr>
            <w:tcW w:w="1140" w:type="dxa"/>
            <w:tcBorders>
              <w:top w:val="nil"/>
              <w:left w:val="nil"/>
              <w:bottom w:val="single" w:color="auto" w:sz="4" w:space="0"/>
              <w:right w:val="single" w:color="auto" w:sz="4" w:space="0"/>
            </w:tcBorders>
            <w:noWrap w:val="0"/>
            <w:vAlign w:val="center"/>
          </w:tcPr>
          <w:p w14:paraId="01063F17">
            <w:pPr>
              <w:spacing w:beforeLines="0" w:afterLines="0"/>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sz w:val="28"/>
                <w:szCs w:val="28"/>
              </w:rPr>
              <w:t>3.03</w:t>
            </w:r>
          </w:p>
        </w:tc>
        <w:tc>
          <w:tcPr>
            <w:tcW w:w="1280" w:type="dxa"/>
            <w:tcBorders>
              <w:top w:val="nil"/>
              <w:left w:val="nil"/>
              <w:bottom w:val="single" w:color="auto" w:sz="4" w:space="0"/>
              <w:right w:val="single" w:color="auto" w:sz="4" w:space="0"/>
            </w:tcBorders>
            <w:noWrap w:val="0"/>
            <w:vAlign w:val="center"/>
          </w:tcPr>
          <w:p w14:paraId="5BCCE7A2">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880" w:type="dxa"/>
            <w:tcBorders>
              <w:top w:val="nil"/>
              <w:left w:val="nil"/>
              <w:bottom w:val="single" w:color="auto" w:sz="4" w:space="0"/>
              <w:right w:val="single" w:color="auto" w:sz="4" w:space="0"/>
            </w:tcBorders>
            <w:noWrap w:val="0"/>
            <w:vAlign w:val="center"/>
          </w:tcPr>
          <w:p w14:paraId="3AD8CE30">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213" w:type="dxa"/>
            <w:tcBorders>
              <w:top w:val="nil"/>
              <w:left w:val="nil"/>
              <w:bottom w:val="single" w:color="auto" w:sz="4" w:space="0"/>
              <w:right w:val="single" w:color="auto" w:sz="4" w:space="0"/>
            </w:tcBorders>
            <w:noWrap w:val="0"/>
            <w:vAlign w:val="center"/>
          </w:tcPr>
          <w:p w14:paraId="2BD8B2B5">
            <w:pPr>
              <w:widowControl/>
              <w:jc w:val="center"/>
              <w:rPr>
                <w:rFonts w:hint="eastAsia" w:asciiTheme="minorEastAsia" w:hAnsiTheme="minorEastAsia" w:eastAsiaTheme="minorEastAsia" w:cstheme="minorEastAsia"/>
                <w:color w:val="000000"/>
                <w:kern w:val="0"/>
                <w:sz w:val="28"/>
                <w:szCs w:val="28"/>
              </w:rPr>
            </w:pPr>
          </w:p>
        </w:tc>
      </w:tr>
      <w:tr w14:paraId="2FC12164">
        <w:tblPrEx>
          <w:tblCellMar>
            <w:top w:w="0" w:type="dxa"/>
            <w:left w:w="108" w:type="dxa"/>
            <w:bottom w:w="0" w:type="dxa"/>
            <w:right w:w="108" w:type="dxa"/>
          </w:tblCellMar>
        </w:tblPrEx>
        <w:trPr>
          <w:trHeight w:val="515" w:hRule="atLeast"/>
          <w:jc w:val="center"/>
        </w:trPr>
        <w:tc>
          <w:tcPr>
            <w:tcW w:w="720" w:type="dxa"/>
            <w:tcBorders>
              <w:top w:val="nil"/>
              <w:left w:val="single" w:color="auto" w:sz="4" w:space="0"/>
              <w:bottom w:val="single" w:color="auto" w:sz="4" w:space="0"/>
              <w:right w:val="single" w:color="auto" w:sz="4" w:space="0"/>
            </w:tcBorders>
            <w:noWrap w:val="0"/>
            <w:vAlign w:val="center"/>
          </w:tcPr>
          <w:p w14:paraId="63AD59C0">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2</w:t>
            </w:r>
          </w:p>
        </w:tc>
        <w:tc>
          <w:tcPr>
            <w:tcW w:w="1360" w:type="dxa"/>
            <w:tcBorders>
              <w:top w:val="nil"/>
              <w:left w:val="nil"/>
              <w:bottom w:val="single" w:color="auto" w:sz="4" w:space="0"/>
              <w:right w:val="single" w:color="auto" w:sz="4" w:space="0"/>
            </w:tcBorders>
            <w:noWrap w:val="0"/>
            <w:vAlign w:val="center"/>
          </w:tcPr>
          <w:p w14:paraId="74863292">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圆钢</w:t>
            </w:r>
          </w:p>
        </w:tc>
        <w:tc>
          <w:tcPr>
            <w:tcW w:w="720" w:type="dxa"/>
            <w:tcBorders>
              <w:top w:val="nil"/>
              <w:left w:val="nil"/>
              <w:bottom w:val="single" w:color="auto" w:sz="4" w:space="0"/>
              <w:right w:val="single" w:color="auto" w:sz="4" w:space="0"/>
            </w:tcBorders>
            <w:noWrap w:val="0"/>
            <w:vAlign w:val="center"/>
          </w:tcPr>
          <w:p w14:paraId="45B48BA9">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Ф10</w:t>
            </w:r>
          </w:p>
        </w:tc>
        <w:tc>
          <w:tcPr>
            <w:tcW w:w="720" w:type="dxa"/>
            <w:tcBorders>
              <w:top w:val="nil"/>
              <w:left w:val="nil"/>
              <w:bottom w:val="single" w:color="auto" w:sz="4" w:space="0"/>
              <w:right w:val="single" w:color="auto" w:sz="4" w:space="0"/>
            </w:tcBorders>
            <w:noWrap w:val="0"/>
            <w:vAlign w:val="center"/>
          </w:tcPr>
          <w:p w14:paraId="7919B6FD">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T</w:t>
            </w:r>
          </w:p>
        </w:tc>
        <w:tc>
          <w:tcPr>
            <w:tcW w:w="1140" w:type="dxa"/>
            <w:tcBorders>
              <w:top w:val="nil"/>
              <w:left w:val="nil"/>
              <w:bottom w:val="single" w:color="auto" w:sz="4" w:space="0"/>
              <w:right w:val="single" w:color="auto" w:sz="4" w:space="0"/>
            </w:tcBorders>
            <w:noWrap w:val="0"/>
            <w:vAlign w:val="center"/>
          </w:tcPr>
          <w:p w14:paraId="1C30D52F">
            <w:pPr>
              <w:spacing w:beforeLines="0" w:afterLines="0"/>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sz w:val="28"/>
                <w:szCs w:val="28"/>
              </w:rPr>
              <w:t>5.58</w:t>
            </w:r>
          </w:p>
        </w:tc>
        <w:tc>
          <w:tcPr>
            <w:tcW w:w="1280" w:type="dxa"/>
            <w:tcBorders>
              <w:top w:val="nil"/>
              <w:left w:val="nil"/>
              <w:bottom w:val="single" w:color="auto" w:sz="4" w:space="0"/>
              <w:right w:val="single" w:color="auto" w:sz="4" w:space="0"/>
            </w:tcBorders>
            <w:noWrap w:val="0"/>
            <w:vAlign w:val="center"/>
          </w:tcPr>
          <w:p w14:paraId="38C78A06">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880" w:type="dxa"/>
            <w:tcBorders>
              <w:top w:val="nil"/>
              <w:left w:val="nil"/>
              <w:bottom w:val="single" w:color="auto" w:sz="4" w:space="0"/>
              <w:right w:val="single" w:color="auto" w:sz="4" w:space="0"/>
            </w:tcBorders>
            <w:noWrap w:val="0"/>
            <w:vAlign w:val="center"/>
          </w:tcPr>
          <w:p w14:paraId="5C0AB105">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213" w:type="dxa"/>
            <w:tcBorders>
              <w:top w:val="nil"/>
              <w:left w:val="nil"/>
              <w:bottom w:val="single" w:color="auto" w:sz="4" w:space="0"/>
              <w:right w:val="single" w:color="auto" w:sz="4" w:space="0"/>
            </w:tcBorders>
            <w:noWrap w:val="0"/>
            <w:vAlign w:val="center"/>
          </w:tcPr>
          <w:p w14:paraId="5D2B257B">
            <w:pPr>
              <w:widowControl/>
              <w:jc w:val="center"/>
              <w:rPr>
                <w:rFonts w:hint="eastAsia" w:asciiTheme="minorEastAsia" w:hAnsiTheme="minorEastAsia" w:eastAsiaTheme="minorEastAsia" w:cstheme="minorEastAsia"/>
                <w:color w:val="000000"/>
                <w:kern w:val="0"/>
                <w:sz w:val="28"/>
                <w:szCs w:val="28"/>
              </w:rPr>
            </w:pPr>
          </w:p>
        </w:tc>
      </w:tr>
      <w:tr w14:paraId="343B501D">
        <w:tblPrEx>
          <w:tblCellMar>
            <w:top w:w="0" w:type="dxa"/>
            <w:left w:w="108" w:type="dxa"/>
            <w:bottom w:w="0" w:type="dxa"/>
            <w:right w:w="108" w:type="dxa"/>
          </w:tblCellMar>
        </w:tblPrEx>
        <w:trPr>
          <w:trHeight w:val="515" w:hRule="atLeast"/>
          <w:jc w:val="center"/>
        </w:trPr>
        <w:tc>
          <w:tcPr>
            <w:tcW w:w="720" w:type="dxa"/>
            <w:tcBorders>
              <w:top w:val="nil"/>
              <w:left w:val="single" w:color="auto" w:sz="4" w:space="0"/>
              <w:bottom w:val="single" w:color="auto" w:sz="4" w:space="0"/>
              <w:right w:val="single" w:color="auto" w:sz="4" w:space="0"/>
            </w:tcBorders>
            <w:noWrap w:val="0"/>
            <w:vAlign w:val="center"/>
          </w:tcPr>
          <w:p w14:paraId="75172EFA">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3</w:t>
            </w:r>
          </w:p>
        </w:tc>
        <w:tc>
          <w:tcPr>
            <w:tcW w:w="1360" w:type="dxa"/>
            <w:tcBorders>
              <w:top w:val="nil"/>
              <w:left w:val="nil"/>
              <w:bottom w:val="single" w:color="auto" w:sz="4" w:space="0"/>
              <w:right w:val="single" w:color="auto" w:sz="4" w:space="0"/>
            </w:tcBorders>
            <w:noWrap w:val="0"/>
            <w:vAlign w:val="center"/>
          </w:tcPr>
          <w:p w14:paraId="3DFE01F4">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螺纹钢筋</w:t>
            </w:r>
          </w:p>
        </w:tc>
        <w:tc>
          <w:tcPr>
            <w:tcW w:w="720" w:type="dxa"/>
            <w:tcBorders>
              <w:top w:val="nil"/>
              <w:left w:val="nil"/>
              <w:bottom w:val="single" w:color="auto" w:sz="4" w:space="0"/>
              <w:right w:val="single" w:color="auto" w:sz="4" w:space="0"/>
            </w:tcBorders>
            <w:noWrap w:val="0"/>
            <w:vAlign w:val="center"/>
          </w:tcPr>
          <w:p w14:paraId="07BE91CA">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Ф8</w:t>
            </w:r>
          </w:p>
        </w:tc>
        <w:tc>
          <w:tcPr>
            <w:tcW w:w="720" w:type="dxa"/>
            <w:tcBorders>
              <w:top w:val="nil"/>
              <w:left w:val="nil"/>
              <w:bottom w:val="single" w:color="auto" w:sz="4" w:space="0"/>
              <w:right w:val="single" w:color="auto" w:sz="4" w:space="0"/>
            </w:tcBorders>
            <w:noWrap w:val="0"/>
            <w:vAlign w:val="center"/>
          </w:tcPr>
          <w:p w14:paraId="6F4D57AE">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T</w:t>
            </w:r>
          </w:p>
        </w:tc>
        <w:tc>
          <w:tcPr>
            <w:tcW w:w="1140" w:type="dxa"/>
            <w:tcBorders>
              <w:top w:val="nil"/>
              <w:left w:val="nil"/>
              <w:bottom w:val="single" w:color="auto" w:sz="4" w:space="0"/>
              <w:right w:val="single" w:color="auto" w:sz="4" w:space="0"/>
            </w:tcBorders>
            <w:noWrap w:val="0"/>
            <w:vAlign w:val="center"/>
          </w:tcPr>
          <w:p w14:paraId="14952ED3">
            <w:pPr>
              <w:spacing w:beforeLines="0" w:afterLines="0"/>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sz w:val="28"/>
                <w:szCs w:val="28"/>
              </w:rPr>
              <w:t>29.60</w:t>
            </w:r>
          </w:p>
        </w:tc>
        <w:tc>
          <w:tcPr>
            <w:tcW w:w="1280" w:type="dxa"/>
            <w:tcBorders>
              <w:top w:val="nil"/>
              <w:left w:val="nil"/>
              <w:bottom w:val="single" w:color="auto" w:sz="4" w:space="0"/>
              <w:right w:val="single" w:color="auto" w:sz="4" w:space="0"/>
            </w:tcBorders>
            <w:noWrap w:val="0"/>
            <w:vAlign w:val="center"/>
          </w:tcPr>
          <w:p w14:paraId="111EFC70">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880" w:type="dxa"/>
            <w:tcBorders>
              <w:top w:val="nil"/>
              <w:left w:val="nil"/>
              <w:bottom w:val="single" w:color="auto" w:sz="4" w:space="0"/>
              <w:right w:val="single" w:color="auto" w:sz="4" w:space="0"/>
            </w:tcBorders>
            <w:noWrap w:val="0"/>
            <w:vAlign w:val="center"/>
          </w:tcPr>
          <w:p w14:paraId="29A09788">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213" w:type="dxa"/>
            <w:tcBorders>
              <w:top w:val="nil"/>
              <w:left w:val="nil"/>
              <w:bottom w:val="single" w:color="auto" w:sz="4" w:space="0"/>
              <w:right w:val="single" w:color="auto" w:sz="4" w:space="0"/>
            </w:tcBorders>
            <w:noWrap w:val="0"/>
            <w:vAlign w:val="center"/>
          </w:tcPr>
          <w:p w14:paraId="277C989D">
            <w:pPr>
              <w:widowControl/>
              <w:jc w:val="center"/>
              <w:rPr>
                <w:rFonts w:hint="eastAsia" w:asciiTheme="minorEastAsia" w:hAnsiTheme="minorEastAsia" w:eastAsiaTheme="minorEastAsia" w:cstheme="minorEastAsia"/>
                <w:color w:val="000000"/>
                <w:kern w:val="0"/>
                <w:sz w:val="28"/>
                <w:szCs w:val="28"/>
              </w:rPr>
            </w:pPr>
          </w:p>
        </w:tc>
      </w:tr>
      <w:tr w14:paraId="0A5251C4">
        <w:tblPrEx>
          <w:tblCellMar>
            <w:top w:w="0" w:type="dxa"/>
            <w:left w:w="108" w:type="dxa"/>
            <w:bottom w:w="0" w:type="dxa"/>
            <w:right w:w="108" w:type="dxa"/>
          </w:tblCellMar>
        </w:tblPrEx>
        <w:trPr>
          <w:trHeight w:val="515" w:hRule="atLeast"/>
          <w:jc w:val="center"/>
        </w:trPr>
        <w:tc>
          <w:tcPr>
            <w:tcW w:w="720" w:type="dxa"/>
            <w:tcBorders>
              <w:top w:val="nil"/>
              <w:left w:val="single" w:color="auto" w:sz="4" w:space="0"/>
              <w:bottom w:val="single" w:color="auto" w:sz="4" w:space="0"/>
              <w:right w:val="single" w:color="auto" w:sz="4" w:space="0"/>
            </w:tcBorders>
            <w:noWrap w:val="0"/>
            <w:vAlign w:val="center"/>
          </w:tcPr>
          <w:p w14:paraId="0F769801">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4</w:t>
            </w:r>
          </w:p>
        </w:tc>
        <w:tc>
          <w:tcPr>
            <w:tcW w:w="1360" w:type="dxa"/>
            <w:tcBorders>
              <w:top w:val="nil"/>
              <w:left w:val="nil"/>
              <w:bottom w:val="single" w:color="auto" w:sz="4" w:space="0"/>
              <w:right w:val="single" w:color="auto" w:sz="4" w:space="0"/>
            </w:tcBorders>
            <w:noWrap w:val="0"/>
            <w:vAlign w:val="center"/>
          </w:tcPr>
          <w:p w14:paraId="70BDAF9D">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螺纹钢筋</w:t>
            </w:r>
          </w:p>
        </w:tc>
        <w:tc>
          <w:tcPr>
            <w:tcW w:w="720" w:type="dxa"/>
            <w:tcBorders>
              <w:top w:val="nil"/>
              <w:left w:val="nil"/>
              <w:bottom w:val="single" w:color="auto" w:sz="4" w:space="0"/>
              <w:right w:val="single" w:color="auto" w:sz="4" w:space="0"/>
            </w:tcBorders>
            <w:noWrap w:val="0"/>
            <w:vAlign w:val="center"/>
          </w:tcPr>
          <w:p w14:paraId="39385793">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Ф10</w:t>
            </w:r>
          </w:p>
        </w:tc>
        <w:tc>
          <w:tcPr>
            <w:tcW w:w="720" w:type="dxa"/>
            <w:tcBorders>
              <w:top w:val="nil"/>
              <w:left w:val="nil"/>
              <w:bottom w:val="single" w:color="auto" w:sz="4" w:space="0"/>
              <w:right w:val="single" w:color="auto" w:sz="4" w:space="0"/>
            </w:tcBorders>
            <w:noWrap w:val="0"/>
            <w:vAlign w:val="center"/>
          </w:tcPr>
          <w:p w14:paraId="502831A7">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T</w:t>
            </w:r>
          </w:p>
        </w:tc>
        <w:tc>
          <w:tcPr>
            <w:tcW w:w="1140" w:type="dxa"/>
            <w:tcBorders>
              <w:top w:val="nil"/>
              <w:left w:val="nil"/>
              <w:bottom w:val="single" w:color="auto" w:sz="4" w:space="0"/>
              <w:right w:val="single" w:color="auto" w:sz="4" w:space="0"/>
            </w:tcBorders>
            <w:noWrap w:val="0"/>
            <w:vAlign w:val="center"/>
          </w:tcPr>
          <w:p w14:paraId="22C3160D">
            <w:pPr>
              <w:spacing w:beforeLines="0" w:afterLines="0"/>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sz w:val="28"/>
                <w:szCs w:val="28"/>
              </w:rPr>
              <w:t>38.67</w:t>
            </w:r>
          </w:p>
        </w:tc>
        <w:tc>
          <w:tcPr>
            <w:tcW w:w="1280" w:type="dxa"/>
            <w:tcBorders>
              <w:top w:val="nil"/>
              <w:left w:val="nil"/>
              <w:bottom w:val="single" w:color="auto" w:sz="4" w:space="0"/>
              <w:right w:val="single" w:color="auto" w:sz="4" w:space="0"/>
            </w:tcBorders>
            <w:noWrap w:val="0"/>
            <w:vAlign w:val="center"/>
          </w:tcPr>
          <w:p w14:paraId="26F0E747">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880" w:type="dxa"/>
            <w:tcBorders>
              <w:top w:val="nil"/>
              <w:left w:val="nil"/>
              <w:bottom w:val="single" w:color="auto" w:sz="4" w:space="0"/>
              <w:right w:val="single" w:color="auto" w:sz="4" w:space="0"/>
            </w:tcBorders>
            <w:noWrap w:val="0"/>
            <w:vAlign w:val="center"/>
          </w:tcPr>
          <w:p w14:paraId="3224FDDE">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213" w:type="dxa"/>
            <w:tcBorders>
              <w:top w:val="nil"/>
              <w:left w:val="nil"/>
              <w:bottom w:val="single" w:color="auto" w:sz="4" w:space="0"/>
              <w:right w:val="single" w:color="auto" w:sz="4" w:space="0"/>
            </w:tcBorders>
            <w:noWrap w:val="0"/>
            <w:vAlign w:val="center"/>
          </w:tcPr>
          <w:p w14:paraId="40FBB8B4">
            <w:pPr>
              <w:widowControl/>
              <w:jc w:val="center"/>
              <w:rPr>
                <w:rFonts w:hint="eastAsia" w:asciiTheme="minorEastAsia" w:hAnsiTheme="minorEastAsia" w:eastAsiaTheme="minorEastAsia" w:cstheme="minorEastAsia"/>
                <w:color w:val="000000"/>
                <w:kern w:val="0"/>
                <w:sz w:val="28"/>
                <w:szCs w:val="28"/>
              </w:rPr>
            </w:pPr>
          </w:p>
        </w:tc>
      </w:tr>
      <w:tr w14:paraId="3ED34EC2">
        <w:tblPrEx>
          <w:tblCellMar>
            <w:top w:w="0" w:type="dxa"/>
            <w:left w:w="108" w:type="dxa"/>
            <w:bottom w:w="0" w:type="dxa"/>
            <w:right w:w="108" w:type="dxa"/>
          </w:tblCellMar>
        </w:tblPrEx>
        <w:trPr>
          <w:trHeight w:val="515" w:hRule="atLeast"/>
          <w:jc w:val="center"/>
        </w:trPr>
        <w:tc>
          <w:tcPr>
            <w:tcW w:w="720" w:type="dxa"/>
            <w:tcBorders>
              <w:top w:val="nil"/>
              <w:left w:val="single" w:color="auto" w:sz="4" w:space="0"/>
              <w:bottom w:val="single" w:color="auto" w:sz="4" w:space="0"/>
              <w:right w:val="single" w:color="auto" w:sz="4" w:space="0"/>
            </w:tcBorders>
            <w:noWrap w:val="0"/>
            <w:vAlign w:val="center"/>
          </w:tcPr>
          <w:p w14:paraId="20F5AE25">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5</w:t>
            </w:r>
          </w:p>
        </w:tc>
        <w:tc>
          <w:tcPr>
            <w:tcW w:w="1360" w:type="dxa"/>
            <w:tcBorders>
              <w:top w:val="nil"/>
              <w:left w:val="nil"/>
              <w:bottom w:val="single" w:color="auto" w:sz="4" w:space="0"/>
              <w:right w:val="single" w:color="auto" w:sz="4" w:space="0"/>
            </w:tcBorders>
            <w:noWrap w:val="0"/>
            <w:vAlign w:val="center"/>
          </w:tcPr>
          <w:p w14:paraId="7A83363C">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螺纹钢筋</w:t>
            </w:r>
          </w:p>
        </w:tc>
        <w:tc>
          <w:tcPr>
            <w:tcW w:w="720" w:type="dxa"/>
            <w:tcBorders>
              <w:top w:val="nil"/>
              <w:left w:val="nil"/>
              <w:bottom w:val="single" w:color="auto" w:sz="4" w:space="0"/>
              <w:right w:val="single" w:color="auto" w:sz="4" w:space="0"/>
            </w:tcBorders>
            <w:noWrap w:val="0"/>
            <w:vAlign w:val="center"/>
          </w:tcPr>
          <w:p w14:paraId="383BF4F6">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Ф12</w:t>
            </w:r>
          </w:p>
        </w:tc>
        <w:tc>
          <w:tcPr>
            <w:tcW w:w="720" w:type="dxa"/>
            <w:tcBorders>
              <w:top w:val="nil"/>
              <w:left w:val="nil"/>
              <w:bottom w:val="single" w:color="auto" w:sz="4" w:space="0"/>
              <w:right w:val="single" w:color="auto" w:sz="4" w:space="0"/>
            </w:tcBorders>
            <w:noWrap w:val="0"/>
            <w:vAlign w:val="center"/>
          </w:tcPr>
          <w:p w14:paraId="394D9BD8">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T</w:t>
            </w:r>
          </w:p>
        </w:tc>
        <w:tc>
          <w:tcPr>
            <w:tcW w:w="1140" w:type="dxa"/>
            <w:tcBorders>
              <w:top w:val="nil"/>
              <w:left w:val="nil"/>
              <w:bottom w:val="single" w:color="auto" w:sz="4" w:space="0"/>
              <w:right w:val="single" w:color="auto" w:sz="4" w:space="0"/>
            </w:tcBorders>
            <w:noWrap w:val="0"/>
            <w:vAlign w:val="center"/>
          </w:tcPr>
          <w:p w14:paraId="2B3C4EB1">
            <w:pPr>
              <w:spacing w:beforeLines="0" w:afterLines="0"/>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sz w:val="28"/>
                <w:szCs w:val="28"/>
              </w:rPr>
              <w:t>244.12</w:t>
            </w:r>
          </w:p>
        </w:tc>
        <w:tc>
          <w:tcPr>
            <w:tcW w:w="1280" w:type="dxa"/>
            <w:tcBorders>
              <w:top w:val="nil"/>
              <w:left w:val="nil"/>
              <w:bottom w:val="single" w:color="auto" w:sz="4" w:space="0"/>
              <w:right w:val="single" w:color="auto" w:sz="4" w:space="0"/>
            </w:tcBorders>
            <w:noWrap w:val="0"/>
            <w:vAlign w:val="center"/>
          </w:tcPr>
          <w:p w14:paraId="724C1B26">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880" w:type="dxa"/>
            <w:tcBorders>
              <w:top w:val="nil"/>
              <w:left w:val="nil"/>
              <w:bottom w:val="single" w:color="auto" w:sz="4" w:space="0"/>
              <w:right w:val="single" w:color="auto" w:sz="4" w:space="0"/>
            </w:tcBorders>
            <w:noWrap w:val="0"/>
            <w:vAlign w:val="center"/>
          </w:tcPr>
          <w:p w14:paraId="181B71D9">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213" w:type="dxa"/>
            <w:tcBorders>
              <w:top w:val="nil"/>
              <w:left w:val="nil"/>
              <w:bottom w:val="single" w:color="auto" w:sz="4" w:space="0"/>
              <w:right w:val="single" w:color="auto" w:sz="4" w:space="0"/>
            </w:tcBorders>
            <w:noWrap w:val="0"/>
            <w:vAlign w:val="center"/>
          </w:tcPr>
          <w:p w14:paraId="75274DDA">
            <w:pPr>
              <w:widowControl/>
              <w:jc w:val="center"/>
              <w:rPr>
                <w:rFonts w:hint="eastAsia" w:asciiTheme="minorEastAsia" w:hAnsiTheme="minorEastAsia" w:eastAsiaTheme="minorEastAsia" w:cstheme="minorEastAsia"/>
                <w:color w:val="000000"/>
                <w:kern w:val="0"/>
                <w:sz w:val="28"/>
                <w:szCs w:val="28"/>
              </w:rPr>
            </w:pPr>
          </w:p>
        </w:tc>
      </w:tr>
      <w:tr w14:paraId="7F4D44CC">
        <w:tblPrEx>
          <w:tblCellMar>
            <w:top w:w="0" w:type="dxa"/>
            <w:left w:w="108" w:type="dxa"/>
            <w:bottom w:w="0" w:type="dxa"/>
            <w:right w:w="108" w:type="dxa"/>
          </w:tblCellMar>
        </w:tblPrEx>
        <w:trPr>
          <w:trHeight w:val="515" w:hRule="atLeast"/>
          <w:jc w:val="center"/>
        </w:trPr>
        <w:tc>
          <w:tcPr>
            <w:tcW w:w="720" w:type="dxa"/>
            <w:tcBorders>
              <w:top w:val="nil"/>
              <w:left w:val="single" w:color="auto" w:sz="4" w:space="0"/>
              <w:bottom w:val="single" w:color="auto" w:sz="4" w:space="0"/>
              <w:right w:val="single" w:color="auto" w:sz="4" w:space="0"/>
            </w:tcBorders>
            <w:noWrap w:val="0"/>
            <w:vAlign w:val="center"/>
          </w:tcPr>
          <w:p w14:paraId="60DF0FEE">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6</w:t>
            </w:r>
          </w:p>
        </w:tc>
        <w:tc>
          <w:tcPr>
            <w:tcW w:w="1360" w:type="dxa"/>
            <w:tcBorders>
              <w:top w:val="nil"/>
              <w:left w:val="nil"/>
              <w:bottom w:val="single" w:color="auto" w:sz="4" w:space="0"/>
              <w:right w:val="single" w:color="auto" w:sz="4" w:space="0"/>
            </w:tcBorders>
            <w:noWrap w:val="0"/>
            <w:vAlign w:val="center"/>
          </w:tcPr>
          <w:p w14:paraId="1F790337">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螺纹钢筋</w:t>
            </w:r>
          </w:p>
        </w:tc>
        <w:tc>
          <w:tcPr>
            <w:tcW w:w="720" w:type="dxa"/>
            <w:tcBorders>
              <w:top w:val="nil"/>
              <w:left w:val="nil"/>
              <w:bottom w:val="single" w:color="auto" w:sz="4" w:space="0"/>
              <w:right w:val="single" w:color="auto" w:sz="4" w:space="0"/>
            </w:tcBorders>
            <w:noWrap w:val="0"/>
            <w:vAlign w:val="center"/>
          </w:tcPr>
          <w:p w14:paraId="0EAE7852">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Ф14</w:t>
            </w:r>
          </w:p>
        </w:tc>
        <w:tc>
          <w:tcPr>
            <w:tcW w:w="720" w:type="dxa"/>
            <w:tcBorders>
              <w:top w:val="nil"/>
              <w:left w:val="nil"/>
              <w:bottom w:val="single" w:color="auto" w:sz="4" w:space="0"/>
              <w:right w:val="single" w:color="auto" w:sz="4" w:space="0"/>
            </w:tcBorders>
            <w:noWrap w:val="0"/>
            <w:vAlign w:val="center"/>
          </w:tcPr>
          <w:p w14:paraId="3D232B5F">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T</w:t>
            </w:r>
          </w:p>
        </w:tc>
        <w:tc>
          <w:tcPr>
            <w:tcW w:w="1140" w:type="dxa"/>
            <w:tcBorders>
              <w:top w:val="nil"/>
              <w:left w:val="nil"/>
              <w:bottom w:val="single" w:color="auto" w:sz="4" w:space="0"/>
              <w:right w:val="single" w:color="auto" w:sz="4" w:space="0"/>
            </w:tcBorders>
            <w:noWrap w:val="0"/>
            <w:vAlign w:val="center"/>
          </w:tcPr>
          <w:p w14:paraId="3E1E0292">
            <w:pPr>
              <w:spacing w:beforeLines="0" w:afterLines="0"/>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sz w:val="28"/>
                <w:szCs w:val="28"/>
              </w:rPr>
              <w:t>137.85</w:t>
            </w:r>
          </w:p>
        </w:tc>
        <w:tc>
          <w:tcPr>
            <w:tcW w:w="1280" w:type="dxa"/>
            <w:tcBorders>
              <w:top w:val="nil"/>
              <w:left w:val="nil"/>
              <w:bottom w:val="single" w:color="auto" w:sz="4" w:space="0"/>
              <w:right w:val="single" w:color="auto" w:sz="4" w:space="0"/>
            </w:tcBorders>
            <w:noWrap w:val="0"/>
            <w:vAlign w:val="center"/>
          </w:tcPr>
          <w:p w14:paraId="5010F68E">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880" w:type="dxa"/>
            <w:tcBorders>
              <w:top w:val="nil"/>
              <w:left w:val="nil"/>
              <w:bottom w:val="single" w:color="auto" w:sz="4" w:space="0"/>
              <w:right w:val="single" w:color="auto" w:sz="4" w:space="0"/>
            </w:tcBorders>
            <w:noWrap w:val="0"/>
            <w:vAlign w:val="center"/>
          </w:tcPr>
          <w:p w14:paraId="4D5EB9ED">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213" w:type="dxa"/>
            <w:tcBorders>
              <w:top w:val="nil"/>
              <w:left w:val="nil"/>
              <w:bottom w:val="single" w:color="auto" w:sz="4" w:space="0"/>
              <w:right w:val="single" w:color="auto" w:sz="4" w:space="0"/>
            </w:tcBorders>
            <w:noWrap w:val="0"/>
            <w:vAlign w:val="center"/>
          </w:tcPr>
          <w:p w14:paraId="58BA2921">
            <w:pPr>
              <w:widowControl/>
              <w:jc w:val="center"/>
              <w:rPr>
                <w:rFonts w:hint="eastAsia" w:asciiTheme="minorEastAsia" w:hAnsiTheme="minorEastAsia" w:eastAsiaTheme="minorEastAsia" w:cstheme="minorEastAsia"/>
                <w:color w:val="000000"/>
                <w:kern w:val="0"/>
                <w:sz w:val="28"/>
                <w:szCs w:val="28"/>
              </w:rPr>
            </w:pPr>
          </w:p>
        </w:tc>
      </w:tr>
      <w:tr w14:paraId="7F78514D">
        <w:tblPrEx>
          <w:tblCellMar>
            <w:top w:w="0" w:type="dxa"/>
            <w:left w:w="108" w:type="dxa"/>
            <w:bottom w:w="0" w:type="dxa"/>
            <w:right w:w="108" w:type="dxa"/>
          </w:tblCellMar>
        </w:tblPrEx>
        <w:trPr>
          <w:trHeight w:val="515" w:hRule="atLeast"/>
          <w:jc w:val="center"/>
        </w:trPr>
        <w:tc>
          <w:tcPr>
            <w:tcW w:w="720" w:type="dxa"/>
            <w:tcBorders>
              <w:top w:val="nil"/>
              <w:left w:val="single" w:color="auto" w:sz="4" w:space="0"/>
              <w:bottom w:val="single" w:color="auto" w:sz="4" w:space="0"/>
              <w:right w:val="single" w:color="auto" w:sz="4" w:space="0"/>
            </w:tcBorders>
            <w:noWrap w:val="0"/>
            <w:vAlign w:val="center"/>
          </w:tcPr>
          <w:p w14:paraId="38959491">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7</w:t>
            </w:r>
          </w:p>
        </w:tc>
        <w:tc>
          <w:tcPr>
            <w:tcW w:w="1360" w:type="dxa"/>
            <w:tcBorders>
              <w:top w:val="nil"/>
              <w:left w:val="nil"/>
              <w:bottom w:val="single" w:color="auto" w:sz="4" w:space="0"/>
              <w:right w:val="single" w:color="auto" w:sz="4" w:space="0"/>
            </w:tcBorders>
            <w:noWrap w:val="0"/>
            <w:vAlign w:val="center"/>
          </w:tcPr>
          <w:p w14:paraId="0FFA8908">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螺纹钢筋</w:t>
            </w:r>
          </w:p>
        </w:tc>
        <w:tc>
          <w:tcPr>
            <w:tcW w:w="720" w:type="dxa"/>
            <w:tcBorders>
              <w:top w:val="nil"/>
              <w:left w:val="nil"/>
              <w:bottom w:val="single" w:color="auto" w:sz="4" w:space="0"/>
              <w:right w:val="single" w:color="auto" w:sz="4" w:space="0"/>
            </w:tcBorders>
            <w:noWrap w:val="0"/>
            <w:vAlign w:val="center"/>
          </w:tcPr>
          <w:p w14:paraId="6574F811">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Ф16</w:t>
            </w:r>
          </w:p>
        </w:tc>
        <w:tc>
          <w:tcPr>
            <w:tcW w:w="720" w:type="dxa"/>
            <w:tcBorders>
              <w:top w:val="nil"/>
              <w:left w:val="nil"/>
              <w:bottom w:val="single" w:color="auto" w:sz="4" w:space="0"/>
              <w:right w:val="single" w:color="auto" w:sz="4" w:space="0"/>
            </w:tcBorders>
            <w:noWrap w:val="0"/>
            <w:vAlign w:val="center"/>
          </w:tcPr>
          <w:p w14:paraId="5EC75CB7">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T</w:t>
            </w:r>
          </w:p>
        </w:tc>
        <w:tc>
          <w:tcPr>
            <w:tcW w:w="1140" w:type="dxa"/>
            <w:tcBorders>
              <w:top w:val="nil"/>
              <w:left w:val="nil"/>
              <w:bottom w:val="single" w:color="auto" w:sz="4" w:space="0"/>
              <w:right w:val="single" w:color="auto" w:sz="4" w:space="0"/>
            </w:tcBorders>
            <w:noWrap w:val="0"/>
            <w:vAlign w:val="center"/>
          </w:tcPr>
          <w:p w14:paraId="39FC170D">
            <w:pPr>
              <w:spacing w:beforeLines="0" w:afterLines="0"/>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sz w:val="28"/>
                <w:szCs w:val="28"/>
              </w:rPr>
              <w:t>260.45</w:t>
            </w:r>
          </w:p>
        </w:tc>
        <w:tc>
          <w:tcPr>
            <w:tcW w:w="1280" w:type="dxa"/>
            <w:tcBorders>
              <w:top w:val="nil"/>
              <w:left w:val="nil"/>
              <w:bottom w:val="single" w:color="auto" w:sz="4" w:space="0"/>
              <w:right w:val="single" w:color="auto" w:sz="4" w:space="0"/>
            </w:tcBorders>
            <w:noWrap w:val="0"/>
            <w:vAlign w:val="center"/>
          </w:tcPr>
          <w:p w14:paraId="42E6957E">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880" w:type="dxa"/>
            <w:tcBorders>
              <w:top w:val="nil"/>
              <w:left w:val="nil"/>
              <w:bottom w:val="single" w:color="auto" w:sz="4" w:space="0"/>
              <w:right w:val="single" w:color="auto" w:sz="4" w:space="0"/>
            </w:tcBorders>
            <w:noWrap w:val="0"/>
            <w:vAlign w:val="center"/>
          </w:tcPr>
          <w:p w14:paraId="075D8841">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213" w:type="dxa"/>
            <w:tcBorders>
              <w:top w:val="nil"/>
              <w:left w:val="nil"/>
              <w:bottom w:val="single" w:color="auto" w:sz="4" w:space="0"/>
              <w:right w:val="single" w:color="auto" w:sz="4" w:space="0"/>
            </w:tcBorders>
            <w:noWrap w:val="0"/>
            <w:vAlign w:val="center"/>
          </w:tcPr>
          <w:p w14:paraId="2F5259C8">
            <w:pPr>
              <w:widowControl/>
              <w:jc w:val="center"/>
              <w:rPr>
                <w:rFonts w:hint="eastAsia" w:asciiTheme="minorEastAsia" w:hAnsiTheme="minorEastAsia" w:eastAsiaTheme="minorEastAsia" w:cstheme="minorEastAsia"/>
                <w:color w:val="000000"/>
                <w:kern w:val="0"/>
                <w:sz w:val="28"/>
                <w:szCs w:val="28"/>
              </w:rPr>
            </w:pPr>
          </w:p>
        </w:tc>
      </w:tr>
      <w:tr w14:paraId="4AD9ED41">
        <w:tblPrEx>
          <w:tblCellMar>
            <w:top w:w="0" w:type="dxa"/>
            <w:left w:w="108" w:type="dxa"/>
            <w:bottom w:w="0" w:type="dxa"/>
            <w:right w:w="108" w:type="dxa"/>
          </w:tblCellMar>
        </w:tblPrEx>
        <w:trPr>
          <w:trHeight w:val="515" w:hRule="atLeast"/>
          <w:jc w:val="center"/>
        </w:trPr>
        <w:tc>
          <w:tcPr>
            <w:tcW w:w="720" w:type="dxa"/>
            <w:tcBorders>
              <w:top w:val="nil"/>
              <w:left w:val="single" w:color="auto" w:sz="4" w:space="0"/>
              <w:bottom w:val="single" w:color="auto" w:sz="4" w:space="0"/>
              <w:right w:val="single" w:color="auto" w:sz="4" w:space="0"/>
            </w:tcBorders>
            <w:noWrap w:val="0"/>
            <w:vAlign w:val="center"/>
          </w:tcPr>
          <w:p w14:paraId="73234E47">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8</w:t>
            </w:r>
          </w:p>
        </w:tc>
        <w:tc>
          <w:tcPr>
            <w:tcW w:w="1360" w:type="dxa"/>
            <w:tcBorders>
              <w:top w:val="nil"/>
              <w:left w:val="nil"/>
              <w:bottom w:val="single" w:color="auto" w:sz="4" w:space="0"/>
              <w:right w:val="single" w:color="auto" w:sz="4" w:space="0"/>
            </w:tcBorders>
            <w:noWrap w:val="0"/>
            <w:vAlign w:val="center"/>
          </w:tcPr>
          <w:p w14:paraId="6C1446AF">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螺纹钢筋</w:t>
            </w:r>
          </w:p>
        </w:tc>
        <w:tc>
          <w:tcPr>
            <w:tcW w:w="720" w:type="dxa"/>
            <w:tcBorders>
              <w:top w:val="nil"/>
              <w:left w:val="nil"/>
              <w:bottom w:val="single" w:color="auto" w:sz="4" w:space="0"/>
              <w:right w:val="single" w:color="auto" w:sz="4" w:space="0"/>
            </w:tcBorders>
            <w:noWrap w:val="0"/>
            <w:vAlign w:val="center"/>
          </w:tcPr>
          <w:p w14:paraId="61DFC7BA">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Ф18</w:t>
            </w:r>
          </w:p>
        </w:tc>
        <w:tc>
          <w:tcPr>
            <w:tcW w:w="720" w:type="dxa"/>
            <w:tcBorders>
              <w:top w:val="nil"/>
              <w:left w:val="nil"/>
              <w:bottom w:val="single" w:color="auto" w:sz="4" w:space="0"/>
              <w:right w:val="single" w:color="auto" w:sz="4" w:space="0"/>
            </w:tcBorders>
            <w:noWrap w:val="0"/>
            <w:vAlign w:val="center"/>
          </w:tcPr>
          <w:p w14:paraId="5FF98FFC">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T</w:t>
            </w:r>
          </w:p>
        </w:tc>
        <w:tc>
          <w:tcPr>
            <w:tcW w:w="1140" w:type="dxa"/>
            <w:tcBorders>
              <w:top w:val="nil"/>
              <w:left w:val="nil"/>
              <w:bottom w:val="single" w:color="auto" w:sz="4" w:space="0"/>
              <w:right w:val="single" w:color="auto" w:sz="4" w:space="0"/>
            </w:tcBorders>
            <w:noWrap w:val="0"/>
            <w:vAlign w:val="center"/>
          </w:tcPr>
          <w:p w14:paraId="596304A1">
            <w:pPr>
              <w:spacing w:beforeLines="0" w:afterLines="0"/>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sz w:val="28"/>
                <w:szCs w:val="28"/>
              </w:rPr>
              <w:t>64.71</w:t>
            </w:r>
          </w:p>
        </w:tc>
        <w:tc>
          <w:tcPr>
            <w:tcW w:w="1280" w:type="dxa"/>
            <w:tcBorders>
              <w:top w:val="nil"/>
              <w:left w:val="nil"/>
              <w:bottom w:val="single" w:color="auto" w:sz="4" w:space="0"/>
              <w:right w:val="single" w:color="auto" w:sz="4" w:space="0"/>
            </w:tcBorders>
            <w:noWrap w:val="0"/>
            <w:vAlign w:val="center"/>
          </w:tcPr>
          <w:p w14:paraId="31FC02BA">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880" w:type="dxa"/>
            <w:tcBorders>
              <w:top w:val="nil"/>
              <w:left w:val="nil"/>
              <w:bottom w:val="single" w:color="auto" w:sz="4" w:space="0"/>
              <w:right w:val="single" w:color="auto" w:sz="4" w:space="0"/>
            </w:tcBorders>
            <w:noWrap w:val="0"/>
            <w:vAlign w:val="center"/>
          </w:tcPr>
          <w:p w14:paraId="7C79A3B3">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213" w:type="dxa"/>
            <w:tcBorders>
              <w:top w:val="nil"/>
              <w:left w:val="nil"/>
              <w:bottom w:val="single" w:color="auto" w:sz="4" w:space="0"/>
              <w:right w:val="single" w:color="auto" w:sz="4" w:space="0"/>
            </w:tcBorders>
            <w:noWrap w:val="0"/>
            <w:vAlign w:val="center"/>
          </w:tcPr>
          <w:p w14:paraId="79568BC1">
            <w:pPr>
              <w:widowControl/>
              <w:jc w:val="center"/>
              <w:rPr>
                <w:rFonts w:hint="eastAsia" w:asciiTheme="minorEastAsia" w:hAnsiTheme="minorEastAsia" w:eastAsiaTheme="minorEastAsia" w:cstheme="minorEastAsia"/>
                <w:color w:val="000000"/>
                <w:kern w:val="0"/>
                <w:sz w:val="28"/>
                <w:szCs w:val="28"/>
              </w:rPr>
            </w:pPr>
          </w:p>
        </w:tc>
      </w:tr>
      <w:tr w14:paraId="229B06EC">
        <w:tblPrEx>
          <w:tblCellMar>
            <w:top w:w="0" w:type="dxa"/>
            <w:left w:w="108" w:type="dxa"/>
            <w:bottom w:w="0" w:type="dxa"/>
            <w:right w:w="108" w:type="dxa"/>
          </w:tblCellMar>
        </w:tblPrEx>
        <w:trPr>
          <w:trHeight w:val="515" w:hRule="atLeast"/>
          <w:jc w:val="center"/>
        </w:trPr>
        <w:tc>
          <w:tcPr>
            <w:tcW w:w="720" w:type="dxa"/>
            <w:tcBorders>
              <w:top w:val="nil"/>
              <w:left w:val="single" w:color="auto" w:sz="4" w:space="0"/>
              <w:bottom w:val="single" w:color="auto" w:sz="4" w:space="0"/>
              <w:right w:val="single" w:color="auto" w:sz="4" w:space="0"/>
            </w:tcBorders>
            <w:noWrap w:val="0"/>
            <w:vAlign w:val="center"/>
          </w:tcPr>
          <w:p w14:paraId="5677A17E">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9</w:t>
            </w:r>
          </w:p>
        </w:tc>
        <w:tc>
          <w:tcPr>
            <w:tcW w:w="1360" w:type="dxa"/>
            <w:tcBorders>
              <w:top w:val="nil"/>
              <w:left w:val="nil"/>
              <w:bottom w:val="single" w:color="auto" w:sz="4" w:space="0"/>
              <w:right w:val="single" w:color="auto" w:sz="4" w:space="0"/>
            </w:tcBorders>
            <w:noWrap w:val="0"/>
            <w:vAlign w:val="center"/>
          </w:tcPr>
          <w:p w14:paraId="50BDC3B2">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螺纹钢筋</w:t>
            </w:r>
          </w:p>
        </w:tc>
        <w:tc>
          <w:tcPr>
            <w:tcW w:w="720" w:type="dxa"/>
            <w:tcBorders>
              <w:top w:val="nil"/>
              <w:left w:val="nil"/>
              <w:bottom w:val="single" w:color="auto" w:sz="4" w:space="0"/>
              <w:right w:val="single" w:color="auto" w:sz="4" w:space="0"/>
            </w:tcBorders>
            <w:noWrap w:val="0"/>
            <w:vAlign w:val="center"/>
          </w:tcPr>
          <w:p w14:paraId="7EABAE0D">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Ф20</w:t>
            </w:r>
          </w:p>
        </w:tc>
        <w:tc>
          <w:tcPr>
            <w:tcW w:w="720" w:type="dxa"/>
            <w:tcBorders>
              <w:top w:val="nil"/>
              <w:left w:val="nil"/>
              <w:bottom w:val="single" w:color="auto" w:sz="4" w:space="0"/>
              <w:right w:val="single" w:color="auto" w:sz="4" w:space="0"/>
            </w:tcBorders>
            <w:noWrap w:val="0"/>
            <w:vAlign w:val="center"/>
          </w:tcPr>
          <w:p w14:paraId="492EEB34">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T</w:t>
            </w:r>
          </w:p>
        </w:tc>
        <w:tc>
          <w:tcPr>
            <w:tcW w:w="1140" w:type="dxa"/>
            <w:tcBorders>
              <w:top w:val="nil"/>
              <w:left w:val="nil"/>
              <w:bottom w:val="single" w:color="auto" w:sz="4" w:space="0"/>
              <w:right w:val="single" w:color="auto" w:sz="4" w:space="0"/>
            </w:tcBorders>
            <w:noWrap w:val="0"/>
            <w:vAlign w:val="center"/>
          </w:tcPr>
          <w:p w14:paraId="3DE64E17">
            <w:pPr>
              <w:spacing w:beforeLines="0" w:afterLines="0"/>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sz w:val="28"/>
                <w:szCs w:val="28"/>
              </w:rPr>
              <w:t>87.26</w:t>
            </w:r>
          </w:p>
        </w:tc>
        <w:tc>
          <w:tcPr>
            <w:tcW w:w="1280" w:type="dxa"/>
            <w:tcBorders>
              <w:top w:val="nil"/>
              <w:left w:val="nil"/>
              <w:bottom w:val="single" w:color="auto" w:sz="4" w:space="0"/>
              <w:right w:val="single" w:color="auto" w:sz="4" w:space="0"/>
            </w:tcBorders>
            <w:noWrap w:val="0"/>
            <w:vAlign w:val="center"/>
          </w:tcPr>
          <w:p w14:paraId="4890AC5B">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880" w:type="dxa"/>
            <w:tcBorders>
              <w:top w:val="nil"/>
              <w:left w:val="nil"/>
              <w:bottom w:val="single" w:color="auto" w:sz="4" w:space="0"/>
              <w:right w:val="single" w:color="auto" w:sz="4" w:space="0"/>
            </w:tcBorders>
            <w:noWrap w:val="0"/>
            <w:vAlign w:val="center"/>
          </w:tcPr>
          <w:p w14:paraId="29F5D9D5">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213" w:type="dxa"/>
            <w:tcBorders>
              <w:top w:val="nil"/>
              <w:left w:val="nil"/>
              <w:bottom w:val="single" w:color="auto" w:sz="4" w:space="0"/>
              <w:right w:val="single" w:color="auto" w:sz="4" w:space="0"/>
            </w:tcBorders>
            <w:noWrap w:val="0"/>
            <w:vAlign w:val="center"/>
          </w:tcPr>
          <w:p w14:paraId="2E5C798A">
            <w:pPr>
              <w:widowControl/>
              <w:jc w:val="center"/>
              <w:rPr>
                <w:rFonts w:hint="eastAsia" w:asciiTheme="minorEastAsia" w:hAnsiTheme="minorEastAsia" w:eastAsiaTheme="minorEastAsia" w:cstheme="minorEastAsia"/>
                <w:color w:val="000000"/>
                <w:kern w:val="0"/>
                <w:sz w:val="28"/>
                <w:szCs w:val="28"/>
              </w:rPr>
            </w:pPr>
          </w:p>
        </w:tc>
      </w:tr>
      <w:tr w14:paraId="073615B3">
        <w:tblPrEx>
          <w:tblCellMar>
            <w:top w:w="0" w:type="dxa"/>
            <w:left w:w="108" w:type="dxa"/>
            <w:bottom w:w="0" w:type="dxa"/>
            <w:right w:w="108" w:type="dxa"/>
          </w:tblCellMar>
        </w:tblPrEx>
        <w:trPr>
          <w:trHeight w:val="515" w:hRule="atLeast"/>
          <w:jc w:val="center"/>
        </w:trPr>
        <w:tc>
          <w:tcPr>
            <w:tcW w:w="720" w:type="dxa"/>
            <w:tcBorders>
              <w:top w:val="nil"/>
              <w:left w:val="single" w:color="auto" w:sz="4" w:space="0"/>
              <w:bottom w:val="single" w:color="auto" w:sz="4" w:space="0"/>
              <w:right w:val="single" w:color="auto" w:sz="4" w:space="0"/>
            </w:tcBorders>
            <w:noWrap w:val="0"/>
            <w:vAlign w:val="center"/>
          </w:tcPr>
          <w:p w14:paraId="473DDC31">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10</w:t>
            </w:r>
          </w:p>
        </w:tc>
        <w:tc>
          <w:tcPr>
            <w:tcW w:w="1360" w:type="dxa"/>
            <w:tcBorders>
              <w:top w:val="nil"/>
              <w:left w:val="nil"/>
              <w:bottom w:val="single" w:color="auto" w:sz="4" w:space="0"/>
              <w:right w:val="single" w:color="auto" w:sz="4" w:space="0"/>
            </w:tcBorders>
            <w:noWrap w:val="0"/>
            <w:vAlign w:val="center"/>
          </w:tcPr>
          <w:p w14:paraId="74283CA1">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螺纹钢筋</w:t>
            </w:r>
          </w:p>
        </w:tc>
        <w:tc>
          <w:tcPr>
            <w:tcW w:w="720" w:type="dxa"/>
            <w:tcBorders>
              <w:top w:val="nil"/>
              <w:left w:val="nil"/>
              <w:bottom w:val="single" w:color="auto" w:sz="4" w:space="0"/>
              <w:right w:val="single" w:color="auto" w:sz="4" w:space="0"/>
            </w:tcBorders>
            <w:noWrap w:val="0"/>
            <w:vAlign w:val="center"/>
          </w:tcPr>
          <w:p w14:paraId="67758CE0">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Ф22</w:t>
            </w:r>
          </w:p>
        </w:tc>
        <w:tc>
          <w:tcPr>
            <w:tcW w:w="720" w:type="dxa"/>
            <w:tcBorders>
              <w:top w:val="nil"/>
              <w:left w:val="nil"/>
              <w:bottom w:val="single" w:color="auto" w:sz="4" w:space="0"/>
              <w:right w:val="single" w:color="auto" w:sz="4" w:space="0"/>
            </w:tcBorders>
            <w:noWrap w:val="0"/>
            <w:vAlign w:val="center"/>
          </w:tcPr>
          <w:p w14:paraId="269C4401">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T</w:t>
            </w:r>
          </w:p>
        </w:tc>
        <w:tc>
          <w:tcPr>
            <w:tcW w:w="1140" w:type="dxa"/>
            <w:tcBorders>
              <w:top w:val="nil"/>
              <w:left w:val="nil"/>
              <w:bottom w:val="single" w:color="auto" w:sz="4" w:space="0"/>
              <w:right w:val="single" w:color="auto" w:sz="4" w:space="0"/>
            </w:tcBorders>
            <w:noWrap w:val="0"/>
            <w:vAlign w:val="center"/>
          </w:tcPr>
          <w:p w14:paraId="28CE6E66">
            <w:pPr>
              <w:spacing w:beforeLines="0" w:afterLines="0"/>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sz w:val="28"/>
                <w:szCs w:val="28"/>
              </w:rPr>
              <w:t>8.41</w:t>
            </w:r>
          </w:p>
        </w:tc>
        <w:tc>
          <w:tcPr>
            <w:tcW w:w="1280" w:type="dxa"/>
            <w:tcBorders>
              <w:top w:val="nil"/>
              <w:left w:val="nil"/>
              <w:bottom w:val="single" w:color="auto" w:sz="4" w:space="0"/>
              <w:right w:val="single" w:color="auto" w:sz="4" w:space="0"/>
            </w:tcBorders>
            <w:noWrap w:val="0"/>
            <w:vAlign w:val="center"/>
          </w:tcPr>
          <w:p w14:paraId="3B980DD6">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880" w:type="dxa"/>
            <w:tcBorders>
              <w:top w:val="nil"/>
              <w:left w:val="nil"/>
              <w:bottom w:val="single" w:color="auto" w:sz="4" w:space="0"/>
              <w:right w:val="single" w:color="auto" w:sz="4" w:space="0"/>
            </w:tcBorders>
            <w:noWrap w:val="0"/>
            <w:vAlign w:val="center"/>
          </w:tcPr>
          <w:p w14:paraId="5463CE98">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213" w:type="dxa"/>
            <w:tcBorders>
              <w:top w:val="nil"/>
              <w:left w:val="nil"/>
              <w:bottom w:val="single" w:color="auto" w:sz="4" w:space="0"/>
              <w:right w:val="single" w:color="auto" w:sz="4" w:space="0"/>
            </w:tcBorders>
            <w:noWrap w:val="0"/>
            <w:vAlign w:val="center"/>
          </w:tcPr>
          <w:p w14:paraId="40243A83">
            <w:pPr>
              <w:widowControl/>
              <w:jc w:val="center"/>
              <w:rPr>
                <w:rFonts w:hint="eastAsia" w:asciiTheme="minorEastAsia" w:hAnsiTheme="minorEastAsia" w:eastAsiaTheme="minorEastAsia" w:cstheme="minorEastAsia"/>
                <w:color w:val="000000"/>
                <w:kern w:val="0"/>
                <w:sz w:val="28"/>
                <w:szCs w:val="28"/>
              </w:rPr>
            </w:pPr>
          </w:p>
        </w:tc>
      </w:tr>
      <w:tr w14:paraId="613E2AAE">
        <w:tblPrEx>
          <w:tblCellMar>
            <w:top w:w="0" w:type="dxa"/>
            <w:left w:w="108" w:type="dxa"/>
            <w:bottom w:w="0" w:type="dxa"/>
            <w:right w:w="108" w:type="dxa"/>
          </w:tblCellMar>
        </w:tblPrEx>
        <w:trPr>
          <w:trHeight w:val="515" w:hRule="atLeast"/>
          <w:jc w:val="center"/>
        </w:trPr>
        <w:tc>
          <w:tcPr>
            <w:tcW w:w="720" w:type="dxa"/>
            <w:tcBorders>
              <w:top w:val="nil"/>
              <w:left w:val="single" w:color="auto" w:sz="4" w:space="0"/>
              <w:bottom w:val="single" w:color="auto" w:sz="4" w:space="0"/>
              <w:right w:val="single" w:color="auto" w:sz="4" w:space="0"/>
            </w:tcBorders>
            <w:noWrap w:val="0"/>
            <w:vAlign w:val="center"/>
          </w:tcPr>
          <w:p w14:paraId="5E4AE1B6">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11</w:t>
            </w:r>
          </w:p>
        </w:tc>
        <w:tc>
          <w:tcPr>
            <w:tcW w:w="1360" w:type="dxa"/>
            <w:tcBorders>
              <w:top w:val="nil"/>
              <w:left w:val="nil"/>
              <w:bottom w:val="single" w:color="auto" w:sz="4" w:space="0"/>
              <w:right w:val="single" w:color="auto" w:sz="4" w:space="0"/>
            </w:tcBorders>
            <w:noWrap w:val="0"/>
            <w:vAlign w:val="center"/>
          </w:tcPr>
          <w:p w14:paraId="2F585650">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螺纹钢筋</w:t>
            </w:r>
          </w:p>
        </w:tc>
        <w:tc>
          <w:tcPr>
            <w:tcW w:w="720" w:type="dxa"/>
            <w:tcBorders>
              <w:top w:val="nil"/>
              <w:left w:val="nil"/>
              <w:bottom w:val="single" w:color="auto" w:sz="4" w:space="0"/>
              <w:right w:val="single" w:color="auto" w:sz="4" w:space="0"/>
            </w:tcBorders>
            <w:noWrap w:val="0"/>
            <w:vAlign w:val="center"/>
          </w:tcPr>
          <w:p w14:paraId="3540633C">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Ф25</w:t>
            </w:r>
          </w:p>
        </w:tc>
        <w:tc>
          <w:tcPr>
            <w:tcW w:w="720" w:type="dxa"/>
            <w:tcBorders>
              <w:top w:val="nil"/>
              <w:left w:val="nil"/>
              <w:bottom w:val="single" w:color="auto" w:sz="4" w:space="0"/>
              <w:right w:val="single" w:color="auto" w:sz="4" w:space="0"/>
            </w:tcBorders>
            <w:noWrap w:val="0"/>
            <w:vAlign w:val="center"/>
          </w:tcPr>
          <w:p w14:paraId="3F83F37B">
            <w:pPr>
              <w:widowControl/>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8"/>
                <w:szCs w:val="28"/>
              </w:rPr>
              <w:t>T</w:t>
            </w:r>
          </w:p>
        </w:tc>
        <w:tc>
          <w:tcPr>
            <w:tcW w:w="1140" w:type="dxa"/>
            <w:tcBorders>
              <w:top w:val="nil"/>
              <w:left w:val="nil"/>
              <w:bottom w:val="single" w:color="auto" w:sz="4" w:space="0"/>
              <w:right w:val="single" w:color="auto" w:sz="4" w:space="0"/>
            </w:tcBorders>
            <w:noWrap w:val="0"/>
            <w:vAlign w:val="center"/>
          </w:tcPr>
          <w:p w14:paraId="2C7B9C5D">
            <w:pPr>
              <w:spacing w:beforeLines="0" w:afterLines="0"/>
              <w:jc w:val="center"/>
              <w:rPr>
                <w:rFonts w:hint="eastAsia"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sz w:val="28"/>
                <w:szCs w:val="28"/>
              </w:rPr>
              <w:t>21.60</w:t>
            </w:r>
          </w:p>
        </w:tc>
        <w:tc>
          <w:tcPr>
            <w:tcW w:w="1280" w:type="dxa"/>
            <w:tcBorders>
              <w:top w:val="nil"/>
              <w:left w:val="nil"/>
              <w:bottom w:val="single" w:color="auto" w:sz="4" w:space="0"/>
              <w:right w:val="single" w:color="auto" w:sz="4" w:space="0"/>
            </w:tcBorders>
            <w:noWrap w:val="0"/>
            <w:vAlign w:val="center"/>
          </w:tcPr>
          <w:p w14:paraId="33355997">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880" w:type="dxa"/>
            <w:tcBorders>
              <w:top w:val="nil"/>
              <w:left w:val="nil"/>
              <w:bottom w:val="single" w:color="auto" w:sz="4" w:space="0"/>
              <w:right w:val="single" w:color="auto" w:sz="4" w:space="0"/>
            </w:tcBorders>
            <w:noWrap w:val="0"/>
            <w:vAlign w:val="center"/>
          </w:tcPr>
          <w:p w14:paraId="482066BF">
            <w:pPr>
              <w:keepNext w:val="0"/>
              <w:keepLines w:val="0"/>
              <w:widowControl/>
              <w:suppressLineNumbers w:val="0"/>
              <w:jc w:val="center"/>
              <w:textAlignment w:val="center"/>
              <w:rPr>
                <w:rFonts w:hint="eastAsia" w:asciiTheme="minorEastAsia" w:hAnsiTheme="minorEastAsia" w:eastAsiaTheme="minorEastAsia" w:cstheme="minorEastAsia"/>
                <w:color w:val="000000"/>
                <w:kern w:val="0"/>
                <w:sz w:val="28"/>
                <w:szCs w:val="28"/>
              </w:rPr>
            </w:pPr>
          </w:p>
        </w:tc>
        <w:tc>
          <w:tcPr>
            <w:tcW w:w="1213" w:type="dxa"/>
            <w:tcBorders>
              <w:top w:val="nil"/>
              <w:left w:val="nil"/>
              <w:bottom w:val="single" w:color="auto" w:sz="4" w:space="0"/>
              <w:right w:val="single" w:color="auto" w:sz="4" w:space="0"/>
            </w:tcBorders>
            <w:noWrap w:val="0"/>
            <w:vAlign w:val="center"/>
          </w:tcPr>
          <w:p w14:paraId="7EA1CCCE">
            <w:pPr>
              <w:widowControl/>
              <w:jc w:val="center"/>
              <w:rPr>
                <w:rFonts w:hint="eastAsia" w:asciiTheme="minorEastAsia" w:hAnsiTheme="minorEastAsia" w:eastAsiaTheme="minorEastAsia" w:cstheme="minorEastAsia"/>
                <w:color w:val="000000"/>
                <w:kern w:val="0"/>
                <w:sz w:val="28"/>
                <w:szCs w:val="28"/>
              </w:rPr>
            </w:pPr>
          </w:p>
        </w:tc>
      </w:tr>
      <w:tr w14:paraId="50BE74C5">
        <w:tblPrEx>
          <w:tblCellMar>
            <w:top w:w="0" w:type="dxa"/>
            <w:left w:w="108" w:type="dxa"/>
            <w:bottom w:w="0" w:type="dxa"/>
            <w:right w:w="108" w:type="dxa"/>
          </w:tblCellMar>
        </w:tblPrEx>
        <w:trPr>
          <w:trHeight w:val="515" w:hRule="atLeast"/>
          <w:jc w:val="center"/>
        </w:trPr>
        <w:tc>
          <w:tcPr>
            <w:tcW w:w="5940" w:type="dxa"/>
            <w:gridSpan w:val="6"/>
            <w:tcBorders>
              <w:top w:val="single" w:color="auto" w:sz="4" w:space="0"/>
              <w:left w:val="single" w:color="auto" w:sz="4" w:space="0"/>
              <w:bottom w:val="single" w:color="auto" w:sz="4" w:space="0"/>
              <w:right w:val="single" w:color="auto" w:sz="4" w:space="0"/>
            </w:tcBorders>
            <w:noWrap w:val="0"/>
            <w:vAlign w:val="center"/>
          </w:tcPr>
          <w:p w14:paraId="5174A28A">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不含增值税总价（元）</w:t>
            </w:r>
          </w:p>
        </w:tc>
        <w:tc>
          <w:tcPr>
            <w:tcW w:w="1880" w:type="dxa"/>
            <w:tcBorders>
              <w:top w:val="nil"/>
              <w:left w:val="nil"/>
              <w:bottom w:val="single" w:color="auto" w:sz="4" w:space="0"/>
              <w:right w:val="single" w:color="auto" w:sz="4" w:space="0"/>
            </w:tcBorders>
            <w:noWrap w:val="0"/>
            <w:vAlign w:val="center"/>
          </w:tcPr>
          <w:p w14:paraId="445242CD">
            <w:pPr>
              <w:keepNext w:val="0"/>
              <w:keepLines w:val="0"/>
              <w:widowControl/>
              <w:suppressLineNumbers w:val="0"/>
              <w:jc w:val="center"/>
              <w:textAlignment w:val="center"/>
              <w:rPr>
                <w:rFonts w:hint="eastAsia" w:asciiTheme="minorEastAsia" w:hAnsiTheme="minorEastAsia" w:eastAsiaTheme="minorEastAsia" w:cstheme="minorEastAsia"/>
                <w:b/>
                <w:bCs/>
                <w:color w:val="000000"/>
                <w:kern w:val="0"/>
                <w:sz w:val="28"/>
                <w:szCs w:val="28"/>
              </w:rPr>
            </w:pPr>
          </w:p>
        </w:tc>
        <w:tc>
          <w:tcPr>
            <w:tcW w:w="1213" w:type="dxa"/>
            <w:tcBorders>
              <w:top w:val="nil"/>
              <w:left w:val="nil"/>
              <w:bottom w:val="single" w:color="auto" w:sz="4" w:space="0"/>
              <w:right w:val="single" w:color="auto" w:sz="4" w:space="0"/>
            </w:tcBorders>
            <w:noWrap w:val="0"/>
            <w:vAlign w:val="center"/>
          </w:tcPr>
          <w:p w14:paraId="431D8A82">
            <w:pPr>
              <w:widowControl/>
              <w:jc w:val="center"/>
              <w:rPr>
                <w:rFonts w:hint="eastAsia" w:asciiTheme="minorEastAsia" w:hAnsiTheme="minorEastAsia" w:eastAsiaTheme="minorEastAsia" w:cstheme="minorEastAsia"/>
                <w:color w:val="000000"/>
                <w:kern w:val="0"/>
                <w:sz w:val="28"/>
                <w:szCs w:val="28"/>
              </w:rPr>
            </w:pPr>
          </w:p>
        </w:tc>
      </w:tr>
      <w:tr w14:paraId="7C7EE83A">
        <w:tblPrEx>
          <w:tblCellMar>
            <w:top w:w="0" w:type="dxa"/>
            <w:left w:w="108" w:type="dxa"/>
            <w:bottom w:w="0" w:type="dxa"/>
            <w:right w:w="108" w:type="dxa"/>
          </w:tblCellMar>
        </w:tblPrEx>
        <w:trPr>
          <w:trHeight w:val="515" w:hRule="atLeast"/>
          <w:jc w:val="center"/>
        </w:trPr>
        <w:tc>
          <w:tcPr>
            <w:tcW w:w="5940" w:type="dxa"/>
            <w:gridSpan w:val="6"/>
            <w:tcBorders>
              <w:top w:val="single" w:color="auto" w:sz="4" w:space="0"/>
              <w:left w:val="single" w:color="auto" w:sz="4" w:space="0"/>
              <w:bottom w:val="single" w:color="auto" w:sz="4" w:space="0"/>
              <w:right w:val="single" w:color="auto" w:sz="4" w:space="0"/>
            </w:tcBorders>
            <w:noWrap w:val="0"/>
            <w:vAlign w:val="center"/>
          </w:tcPr>
          <w:p w14:paraId="73FD3EA7">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其中增值税金（</w:t>
            </w:r>
            <w:r>
              <w:rPr>
                <w:rFonts w:hint="eastAsia" w:asciiTheme="minorEastAsia" w:hAnsiTheme="minorEastAsia" w:eastAsiaTheme="minorEastAsia" w:cstheme="minorEastAsia"/>
                <w:b/>
                <w:bCs/>
                <w:color w:val="000000"/>
                <w:kern w:val="0"/>
                <w:sz w:val="28"/>
                <w:szCs w:val="28"/>
                <w:u w:val="single"/>
              </w:rPr>
              <w:t xml:space="preserve"> </w:t>
            </w:r>
            <w:r>
              <w:rPr>
                <w:rFonts w:hint="eastAsia" w:asciiTheme="minorEastAsia" w:hAnsiTheme="minorEastAsia" w:cstheme="minorEastAsia"/>
                <w:b/>
                <w:bCs/>
                <w:color w:val="000000"/>
                <w:kern w:val="0"/>
                <w:sz w:val="28"/>
                <w:szCs w:val="28"/>
                <w:u w:val="single"/>
                <w:lang w:val="en-US" w:eastAsia="zh-CN"/>
              </w:rPr>
              <w:t xml:space="preserve"> </w:t>
            </w:r>
            <w:r>
              <w:rPr>
                <w:rFonts w:hint="eastAsia" w:asciiTheme="minorEastAsia" w:hAnsiTheme="minorEastAsia" w:eastAsiaTheme="minorEastAsia" w:cstheme="minorEastAsia"/>
                <w:b/>
                <w:bCs/>
                <w:color w:val="000000"/>
                <w:kern w:val="0"/>
                <w:sz w:val="28"/>
                <w:szCs w:val="28"/>
                <w:u w:val="single"/>
              </w:rPr>
              <w:t xml:space="preserve"> </w:t>
            </w:r>
            <w:r>
              <w:rPr>
                <w:rFonts w:hint="eastAsia" w:asciiTheme="minorEastAsia" w:hAnsiTheme="minorEastAsia" w:eastAsiaTheme="minorEastAsia" w:cstheme="minorEastAsia"/>
                <w:b/>
                <w:bCs/>
                <w:color w:val="000000"/>
                <w:kern w:val="0"/>
                <w:sz w:val="28"/>
                <w:szCs w:val="28"/>
              </w:rPr>
              <w:t>%）</w:t>
            </w:r>
          </w:p>
        </w:tc>
        <w:tc>
          <w:tcPr>
            <w:tcW w:w="1880" w:type="dxa"/>
            <w:tcBorders>
              <w:top w:val="nil"/>
              <w:left w:val="nil"/>
              <w:bottom w:val="single" w:color="auto" w:sz="4" w:space="0"/>
              <w:right w:val="single" w:color="auto" w:sz="4" w:space="0"/>
            </w:tcBorders>
            <w:noWrap w:val="0"/>
            <w:vAlign w:val="center"/>
          </w:tcPr>
          <w:p w14:paraId="6DFC3D91">
            <w:pPr>
              <w:keepNext w:val="0"/>
              <w:keepLines w:val="0"/>
              <w:widowControl/>
              <w:suppressLineNumbers w:val="0"/>
              <w:jc w:val="center"/>
              <w:textAlignment w:val="center"/>
              <w:rPr>
                <w:rFonts w:hint="eastAsia" w:asciiTheme="minorEastAsia" w:hAnsiTheme="minorEastAsia" w:eastAsiaTheme="minorEastAsia" w:cstheme="minorEastAsia"/>
                <w:b/>
                <w:bCs/>
                <w:color w:val="000000"/>
                <w:kern w:val="0"/>
                <w:sz w:val="28"/>
                <w:szCs w:val="28"/>
              </w:rPr>
            </w:pPr>
          </w:p>
        </w:tc>
        <w:tc>
          <w:tcPr>
            <w:tcW w:w="1213" w:type="dxa"/>
            <w:tcBorders>
              <w:top w:val="nil"/>
              <w:left w:val="nil"/>
              <w:bottom w:val="single" w:color="auto" w:sz="4" w:space="0"/>
              <w:right w:val="single" w:color="auto" w:sz="4" w:space="0"/>
            </w:tcBorders>
            <w:noWrap w:val="0"/>
            <w:vAlign w:val="center"/>
          </w:tcPr>
          <w:p w14:paraId="7ED885E4">
            <w:pPr>
              <w:widowControl/>
              <w:jc w:val="center"/>
              <w:rPr>
                <w:rFonts w:hint="eastAsia" w:asciiTheme="minorEastAsia" w:hAnsiTheme="minorEastAsia" w:eastAsiaTheme="minorEastAsia" w:cstheme="minorEastAsia"/>
                <w:color w:val="000000"/>
                <w:kern w:val="0"/>
                <w:sz w:val="28"/>
                <w:szCs w:val="28"/>
              </w:rPr>
            </w:pPr>
          </w:p>
        </w:tc>
      </w:tr>
      <w:tr w14:paraId="67BCE119">
        <w:tblPrEx>
          <w:tblCellMar>
            <w:top w:w="0" w:type="dxa"/>
            <w:left w:w="108" w:type="dxa"/>
            <w:bottom w:w="0" w:type="dxa"/>
            <w:right w:w="108" w:type="dxa"/>
          </w:tblCellMar>
        </w:tblPrEx>
        <w:trPr>
          <w:trHeight w:val="515" w:hRule="atLeast"/>
          <w:jc w:val="center"/>
        </w:trPr>
        <w:tc>
          <w:tcPr>
            <w:tcW w:w="5940" w:type="dxa"/>
            <w:gridSpan w:val="6"/>
            <w:tcBorders>
              <w:top w:val="single" w:color="auto" w:sz="4" w:space="0"/>
              <w:left w:val="single" w:color="auto" w:sz="4" w:space="0"/>
              <w:bottom w:val="single" w:color="auto" w:sz="4" w:space="0"/>
              <w:right w:val="single" w:color="auto" w:sz="4" w:space="0"/>
            </w:tcBorders>
            <w:noWrap w:val="0"/>
            <w:vAlign w:val="center"/>
          </w:tcPr>
          <w:p w14:paraId="14FC25E1">
            <w:pPr>
              <w:widowControl/>
              <w:jc w:val="center"/>
              <w:rPr>
                <w:rFonts w:hint="eastAsia" w:asciiTheme="minorEastAsia" w:hAnsiTheme="minorEastAsia" w:eastAsiaTheme="minorEastAsia" w:cstheme="minorEastAsia"/>
                <w:b/>
                <w:bCs/>
                <w:color w:val="000000"/>
                <w:kern w:val="0"/>
                <w:sz w:val="28"/>
                <w:szCs w:val="28"/>
              </w:rPr>
            </w:pPr>
            <w:r>
              <w:rPr>
                <w:rFonts w:hint="eastAsia" w:asciiTheme="minorEastAsia" w:hAnsiTheme="minorEastAsia" w:eastAsiaTheme="minorEastAsia" w:cstheme="minorEastAsia"/>
                <w:b/>
                <w:bCs/>
                <w:color w:val="000000"/>
                <w:kern w:val="0"/>
                <w:sz w:val="28"/>
                <w:szCs w:val="28"/>
              </w:rPr>
              <w:t>含增值税总价（元）</w:t>
            </w:r>
          </w:p>
        </w:tc>
        <w:tc>
          <w:tcPr>
            <w:tcW w:w="1880" w:type="dxa"/>
            <w:tcBorders>
              <w:top w:val="nil"/>
              <w:left w:val="nil"/>
              <w:bottom w:val="single" w:color="auto" w:sz="4" w:space="0"/>
              <w:right w:val="single" w:color="auto" w:sz="4" w:space="0"/>
            </w:tcBorders>
            <w:noWrap w:val="0"/>
            <w:vAlign w:val="center"/>
          </w:tcPr>
          <w:p w14:paraId="62C5FCEF">
            <w:pPr>
              <w:keepNext w:val="0"/>
              <w:keepLines w:val="0"/>
              <w:widowControl/>
              <w:suppressLineNumbers w:val="0"/>
              <w:jc w:val="center"/>
              <w:textAlignment w:val="center"/>
              <w:rPr>
                <w:rFonts w:hint="eastAsia" w:asciiTheme="minorEastAsia" w:hAnsiTheme="minorEastAsia" w:eastAsiaTheme="minorEastAsia" w:cstheme="minorEastAsia"/>
                <w:b/>
                <w:bCs/>
                <w:color w:val="000000"/>
                <w:kern w:val="0"/>
                <w:sz w:val="28"/>
                <w:szCs w:val="28"/>
              </w:rPr>
            </w:pPr>
          </w:p>
        </w:tc>
        <w:tc>
          <w:tcPr>
            <w:tcW w:w="1213" w:type="dxa"/>
            <w:tcBorders>
              <w:top w:val="nil"/>
              <w:left w:val="nil"/>
              <w:bottom w:val="single" w:color="auto" w:sz="4" w:space="0"/>
              <w:right w:val="single" w:color="auto" w:sz="4" w:space="0"/>
            </w:tcBorders>
            <w:noWrap w:val="0"/>
            <w:vAlign w:val="center"/>
          </w:tcPr>
          <w:p w14:paraId="0BDE424F">
            <w:pPr>
              <w:widowControl/>
              <w:jc w:val="center"/>
              <w:rPr>
                <w:rFonts w:hint="eastAsia" w:asciiTheme="minorEastAsia" w:hAnsiTheme="minorEastAsia" w:eastAsiaTheme="minorEastAsia" w:cstheme="minorEastAsia"/>
                <w:color w:val="000000"/>
                <w:kern w:val="0"/>
                <w:sz w:val="28"/>
                <w:szCs w:val="28"/>
              </w:rPr>
            </w:pPr>
          </w:p>
        </w:tc>
      </w:tr>
    </w:tbl>
    <w:p w14:paraId="7A6C6531">
      <w:pPr>
        <w:keepNext w:val="0"/>
        <w:keepLines w:val="0"/>
        <w:pageBreakBefore w:val="0"/>
        <w:widowControl w:val="0"/>
        <w:kinsoku/>
        <w:wordWrap/>
        <w:overflowPunct/>
        <w:topLinePunct w:val="0"/>
        <w:autoSpaceDE/>
        <w:autoSpaceDN w:val="0"/>
        <w:bidi w:val="0"/>
        <w:adjustRightInd/>
        <w:snapToGrid/>
        <w:spacing w:after="0" w:line="340" w:lineRule="exact"/>
        <w:jc w:val="right"/>
        <w:rPr>
          <w:rFonts w:hint="eastAsia" w:asciiTheme="minorEastAsia" w:hAnsiTheme="minorEastAsia" w:eastAsiaTheme="minorEastAsia" w:cstheme="minorEastAsia"/>
          <w:bCs/>
          <w:kern w:val="2"/>
          <w:sz w:val="22"/>
          <w:szCs w:val="22"/>
          <w:highlight w:val="none"/>
          <w:lang w:val="en-US" w:eastAsia="zh-CN" w:bidi="ar-SA"/>
        </w:rPr>
      </w:pPr>
    </w:p>
    <w:p w14:paraId="5CB75C6F">
      <w:pPr>
        <w:keepNext w:val="0"/>
        <w:keepLines w:val="0"/>
        <w:pageBreakBefore w:val="0"/>
        <w:widowControl w:val="0"/>
        <w:kinsoku/>
        <w:wordWrap w:val="0"/>
        <w:overflowPunct/>
        <w:topLinePunct w:val="0"/>
        <w:autoSpaceDE/>
        <w:autoSpaceDN w:val="0"/>
        <w:bidi w:val="0"/>
        <w:adjustRightInd/>
        <w:snapToGrid/>
        <w:spacing w:after="0" w:line="360" w:lineRule="auto"/>
        <w:jc w:val="both"/>
        <w:rPr>
          <w:rFonts w:hint="default" w:asciiTheme="minorEastAsia" w:hAnsiTheme="minorEastAsia" w:eastAsiaTheme="minorEastAsia" w:cstheme="minorEastAsia"/>
          <w:i w:val="0"/>
          <w:iCs w:val="0"/>
          <w:color w:val="000000"/>
          <w:kern w:val="0"/>
          <w:sz w:val="28"/>
          <w:szCs w:val="28"/>
          <w:u w:val="none"/>
          <w:lang w:val="en-US" w:eastAsia="zh-CN" w:bidi="ar"/>
        </w:rPr>
      </w:pPr>
      <w:r>
        <w:rPr>
          <w:rFonts w:hint="eastAsia" w:asciiTheme="minorEastAsia" w:hAnsiTheme="minorEastAsia" w:eastAsiaTheme="minorEastAsia" w:cstheme="minorEastAsia"/>
          <w:i w:val="0"/>
          <w:iCs w:val="0"/>
          <w:color w:val="000000"/>
          <w:kern w:val="0"/>
          <w:sz w:val="28"/>
          <w:szCs w:val="28"/>
          <w:u w:val="none"/>
          <w:lang w:val="en-US" w:eastAsia="zh-CN" w:bidi="ar"/>
        </w:rPr>
        <w:t xml:space="preserve">报价单位：        </w:t>
      </w:r>
    </w:p>
    <w:p w14:paraId="2D217E28">
      <w:pPr>
        <w:keepNext w:val="0"/>
        <w:keepLines w:val="0"/>
        <w:pageBreakBefore w:val="0"/>
        <w:widowControl w:val="0"/>
        <w:kinsoku/>
        <w:wordWrap w:val="0"/>
        <w:overflowPunct/>
        <w:topLinePunct w:val="0"/>
        <w:autoSpaceDE/>
        <w:autoSpaceDN w:val="0"/>
        <w:bidi w:val="0"/>
        <w:adjustRightInd/>
        <w:snapToGrid/>
        <w:spacing w:after="0" w:line="360" w:lineRule="auto"/>
        <w:jc w:val="both"/>
        <w:rPr>
          <w:rFonts w:hint="eastAsia" w:asciiTheme="minorEastAsia" w:hAnsiTheme="minorEastAsia" w:eastAsiaTheme="minorEastAsia" w:cstheme="minorEastAsia"/>
          <w:i w:val="0"/>
          <w:iCs w:val="0"/>
          <w:color w:val="000000"/>
          <w:kern w:val="0"/>
          <w:sz w:val="28"/>
          <w:szCs w:val="28"/>
          <w:u w:val="none"/>
          <w:lang w:val="en-US" w:eastAsia="zh-CN" w:bidi="ar"/>
        </w:rPr>
      </w:pPr>
      <w:r>
        <w:rPr>
          <w:rFonts w:hint="eastAsia" w:asciiTheme="minorEastAsia" w:hAnsiTheme="minorEastAsia" w:eastAsiaTheme="minorEastAsia" w:cstheme="minorEastAsia"/>
          <w:i w:val="0"/>
          <w:iCs w:val="0"/>
          <w:color w:val="000000"/>
          <w:kern w:val="0"/>
          <w:sz w:val="28"/>
          <w:szCs w:val="28"/>
          <w:u w:val="none"/>
          <w:lang w:val="en-US" w:eastAsia="zh-CN" w:bidi="ar"/>
        </w:rPr>
        <w:t>联系人：</w:t>
      </w:r>
      <w:r>
        <w:rPr>
          <w:rFonts w:hint="eastAsia" w:asciiTheme="minorEastAsia" w:hAnsiTheme="minorEastAsia" w:eastAsiaTheme="minorEastAsia" w:cstheme="minorEastAsia"/>
          <w:kern w:val="2"/>
          <w:sz w:val="28"/>
          <w:szCs w:val="28"/>
          <w:u w:val="none"/>
          <w:lang w:val="en-US" w:eastAsia="zh-CN" w:bidi="ar-SA"/>
        </w:rPr>
        <w:t xml:space="preserve">   </w:t>
      </w:r>
      <w:r>
        <w:rPr>
          <w:rFonts w:hint="eastAsia" w:asciiTheme="minorEastAsia" w:hAnsiTheme="minorEastAsia" w:eastAsiaTheme="minorEastAsia" w:cstheme="minorEastAsia"/>
          <w:i w:val="0"/>
          <w:iCs w:val="0"/>
          <w:color w:val="000000"/>
          <w:kern w:val="0"/>
          <w:sz w:val="28"/>
          <w:szCs w:val="28"/>
          <w:u w:val="none"/>
          <w:lang w:val="en-US" w:eastAsia="zh-CN" w:bidi="ar"/>
        </w:rPr>
        <w:t xml:space="preserve">   </w:t>
      </w:r>
    </w:p>
    <w:p w14:paraId="0996CEA4">
      <w:pPr>
        <w:keepNext w:val="0"/>
        <w:keepLines w:val="0"/>
        <w:pageBreakBefore w:val="0"/>
        <w:widowControl w:val="0"/>
        <w:kinsoku/>
        <w:wordWrap w:val="0"/>
        <w:overflowPunct/>
        <w:topLinePunct w:val="0"/>
        <w:autoSpaceDE/>
        <w:autoSpaceDN w:val="0"/>
        <w:bidi w:val="0"/>
        <w:adjustRightInd/>
        <w:snapToGrid/>
        <w:spacing w:after="0" w:line="360" w:lineRule="auto"/>
        <w:jc w:val="both"/>
        <w:rPr>
          <w:rFonts w:hint="default" w:asciiTheme="minorEastAsia" w:hAnsiTheme="minorEastAsia" w:eastAsiaTheme="minorEastAsia" w:cstheme="minorEastAsia"/>
          <w:i w:val="0"/>
          <w:iCs w:val="0"/>
          <w:color w:val="000000"/>
          <w:kern w:val="0"/>
          <w:sz w:val="28"/>
          <w:szCs w:val="28"/>
          <w:u w:val="none"/>
          <w:lang w:val="en-US" w:eastAsia="zh-CN" w:bidi="ar"/>
        </w:rPr>
      </w:pPr>
      <w:r>
        <w:rPr>
          <w:rFonts w:hint="eastAsia" w:asciiTheme="minorEastAsia" w:hAnsiTheme="minorEastAsia" w:eastAsiaTheme="minorEastAsia" w:cstheme="minorEastAsia"/>
          <w:i w:val="0"/>
          <w:iCs w:val="0"/>
          <w:color w:val="000000"/>
          <w:kern w:val="0"/>
          <w:sz w:val="28"/>
          <w:szCs w:val="28"/>
          <w:u w:val="none"/>
          <w:lang w:val="en-US" w:eastAsia="zh-CN" w:bidi="ar"/>
        </w:rPr>
        <w:t>电话：</w:t>
      </w:r>
      <w:r>
        <w:rPr>
          <w:rFonts w:hint="eastAsia" w:asciiTheme="minorEastAsia" w:hAnsiTheme="minorEastAsia" w:eastAsiaTheme="minorEastAsia" w:cstheme="minorEastAsia"/>
          <w:kern w:val="2"/>
          <w:sz w:val="28"/>
          <w:szCs w:val="28"/>
          <w:u w:val="none"/>
          <w:lang w:val="en-US" w:eastAsia="zh-CN" w:bidi="ar-SA"/>
        </w:rPr>
        <w:t xml:space="preserve">        </w:t>
      </w:r>
    </w:p>
    <w:p w14:paraId="32B58B4A">
      <w:pPr>
        <w:keepNext w:val="0"/>
        <w:keepLines w:val="0"/>
        <w:pageBreakBefore w:val="0"/>
        <w:widowControl w:val="0"/>
        <w:kinsoku/>
        <w:wordWrap/>
        <w:overflowPunct/>
        <w:topLinePunct w:val="0"/>
        <w:autoSpaceDE/>
        <w:autoSpaceDN w:val="0"/>
        <w:bidi w:val="0"/>
        <w:adjustRightInd/>
        <w:snapToGrid/>
        <w:spacing w:after="0" w:line="360" w:lineRule="auto"/>
        <w:jc w:val="both"/>
        <w:rPr>
          <w:rFonts w:hint="default"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8"/>
          <w:szCs w:val="28"/>
          <w:u w:val="none"/>
          <w:lang w:val="en-US" w:eastAsia="zh-CN" w:bidi="ar"/>
        </w:rPr>
        <w:t xml:space="preserve">报价日期：      </w:t>
      </w:r>
      <w:r>
        <w:rPr>
          <w:rFonts w:hint="eastAsia" w:asciiTheme="minorEastAsia" w:hAnsiTheme="minorEastAsia" w:eastAsiaTheme="minorEastAsia" w:cstheme="minorEastAsia"/>
          <w:i w:val="0"/>
          <w:iCs w:val="0"/>
          <w:color w:val="000000"/>
          <w:kern w:val="0"/>
          <w:sz w:val="24"/>
          <w:szCs w:val="24"/>
          <w:u w:val="none"/>
          <w:lang w:val="en-US" w:eastAsia="zh-CN" w:bidi="ar"/>
        </w:rPr>
        <w:t xml:space="preserve"> </w:t>
      </w:r>
    </w:p>
    <w:p w14:paraId="7B6313B9">
      <w:pPr>
        <w:rPr>
          <w:rFonts w:hint="eastAsia" w:ascii="宋体" w:hAnsi="宋体" w:eastAsia="宋体" w:cs="宋体"/>
          <w:color w:val="auto"/>
          <w:sz w:val="20"/>
          <w:szCs w:val="20"/>
          <w:highlight w:val="none"/>
          <w:lang w:val="zh-CN" w:eastAsia="zh-CN" w:bidi="zh-CN"/>
        </w:rPr>
      </w:pPr>
    </w:p>
    <w:p w14:paraId="7C279E10">
      <w:pPr>
        <w:pStyle w:val="3"/>
        <w:rPr>
          <w:rFonts w:hint="eastAsia" w:ascii="宋体" w:hAnsi="宋体" w:eastAsia="宋体" w:cs="宋体"/>
          <w:color w:val="auto"/>
          <w:sz w:val="20"/>
          <w:szCs w:val="20"/>
          <w:highlight w:val="none"/>
          <w:lang w:val="zh-CN" w:eastAsia="zh-CN" w:bidi="zh-CN"/>
        </w:rPr>
      </w:pPr>
    </w:p>
    <w:p w14:paraId="760C19D7">
      <w:pPr>
        <w:pStyle w:val="4"/>
        <w:ind w:left="0" w:leftChars="0" w:firstLine="0" w:firstLineChars="0"/>
        <w:jc w:val="both"/>
        <w:rPr>
          <w:rFonts w:hint="eastAsia" w:ascii="宋体" w:hAnsi="宋体" w:eastAsia="宋体" w:cs="宋体"/>
          <w:color w:val="auto"/>
          <w:sz w:val="20"/>
          <w:szCs w:val="20"/>
          <w:highlight w:val="none"/>
          <w:lang w:val="zh-CN" w:eastAsia="zh-CN" w:bidi="zh-CN"/>
        </w:rPr>
      </w:pPr>
    </w:p>
    <w:p w14:paraId="0DDD654D">
      <w:pPr>
        <w:rPr>
          <w:rFonts w:hint="eastAsia"/>
          <w:color w:val="auto"/>
          <w:lang w:val="zh-CN" w:eastAsia="zh-CN"/>
        </w:rPr>
      </w:pPr>
    </w:p>
    <w:p w14:paraId="1E3454A0">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5" w:name="_Toc24321"/>
      <w:r>
        <w:rPr>
          <w:rFonts w:hint="eastAsia" w:ascii="宋体" w:hAnsi="宋体" w:eastAsia="宋体" w:cs="宋体"/>
          <w:b/>
          <w:bCs/>
          <w:color w:val="auto"/>
          <w:kern w:val="0"/>
          <w:sz w:val="32"/>
          <w:szCs w:val="32"/>
          <w:highlight w:val="none"/>
          <w:lang w:val="en-US" w:eastAsia="zh-CN"/>
        </w:rPr>
        <w:t>第四部分  评选办法</w:t>
      </w:r>
      <w:bookmarkEnd w:id="15"/>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13946376">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6" w:name="_Toc20303"/>
      <w:r>
        <w:rPr>
          <w:rFonts w:hint="eastAsia" w:ascii="宋体" w:hAnsi="宋体" w:eastAsia="宋体" w:cs="宋体"/>
          <w:b/>
          <w:bCs/>
          <w:color w:val="auto"/>
          <w:kern w:val="0"/>
          <w:sz w:val="32"/>
          <w:szCs w:val="32"/>
          <w:highlight w:val="none"/>
          <w:lang w:val="en-US" w:eastAsia="zh-CN"/>
        </w:rPr>
        <w:t>合同主要条款</w:t>
      </w:r>
      <w:bookmarkEnd w:id="16"/>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1F3F1484">
      <w:pPr>
        <w:widowControl w:val="0"/>
        <w:spacing w:before="240" w:after="60"/>
        <w:jc w:val="center"/>
        <w:outlineLvl w:val="9"/>
        <w:rPr>
          <w:rFonts w:hint="eastAsia" w:ascii="仿宋" w:hAnsi="仿宋" w:eastAsia="仿宋" w:cs="Times New Roman"/>
          <w:b/>
          <w:bCs/>
          <w:kern w:val="2"/>
          <w:sz w:val="36"/>
          <w:szCs w:val="36"/>
          <w:lang w:val="en-US" w:eastAsia="zh-CN" w:bidi="ar-SA"/>
        </w:rPr>
      </w:pPr>
      <w:r>
        <w:rPr>
          <w:rFonts w:hint="eastAsia" w:ascii="仿宋" w:hAnsi="仿宋" w:eastAsia="仿宋" w:cs="Times New Roman"/>
          <w:b/>
          <w:bCs/>
          <w:kern w:val="2"/>
          <w:sz w:val="36"/>
          <w:szCs w:val="36"/>
          <w:lang w:val="en-US" w:eastAsia="zh-CN" w:bidi="ar-SA"/>
        </w:rPr>
        <w:t>钢筋采购供应合同</w:t>
      </w:r>
    </w:p>
    <w:p w14:paraId="162780D0">
      <w:pPr>
        <w:wordWrap w:val="0"/>
        <w:spacing w:line="360" w:lineRule="auto"/>
        <w:ind w:right="0" w:rightChars="0"/>
        <w:jc w:val="right"/>
        <w:rPr>
          <w:rFonts w:hint="default" w:ascii="仿宋" w:hAnsi="仿宋" w:eastAsia="仿宋" w:cs="Times New Roman"/>
          <w:b/>
          <w:bCs/>
          <w:sz w:val="24"/>
          <w:szCs w:val="24"/>
          <w:u w:val="single"/>
          <w:lang w:val="en-US" w:eastAsia="zh-CN"/>
        </w:rPr>
      </w:pPr>
      <w:r>
        <w:rPr>
          <w:rFonts w:hint="eastAsia" w:ascii="仿宋" w:hAnsi="仿宋" w:eastAsia="仿宋" w:cs="Times New Roman"/>
          <w:sz w:val="24"/>
          <w:szCs w:val="24"/>
        </w:rPr>
        <w:t xml:space="preserve">                                </w:t>
      </w:r>
      <w:r>
        <w:rPr>
          <w:rFonts w:hint="eastAsia" w:ascii="仿宋" w:hAnsi="仿宋" w:eastAsia="仿宋" w:cs="Times New Roman"/>
          <w:sz w:val="24"/>
          <w:szCs w:val="24"/>
          <w:lang w:val="zh-CN"/>
        </w:rPr>
        <w:t>合同编号：</w:t>
      </w:r>
      <w:r>
        <w:rPr>
          <w:rFonts w:hint="eastAsia" w:ascii="仿宋" w:hAnsi="仿宋" w:eastAsia="仿宋" w:cs="Times New Roman"/>
          <w:sz w:val="24"/>
          <w:szCs w:val="24"/>
          <w:u w:val="single"/>
          <w:lang w:val="en-US" w:eastAsia="zh-CN"/>
        </w:rPr>
        <w:t xml:space="preserve">                         </w:t>
      </w:r>
    </w:p>
    <w:p w14:paraId="2F8ABE24">
      <w:pPr>
        <w:autoSpaceDE w:val="0"/>
        <w:autoSpaceDN w:val="0"/>
        <w:spacing w:line="360" w:lineRule="auto"/>
        <w:rPr>
          <w:rFonts w:hint="default" w:ascii="仿宋" w:hAnsi="仿宋" w:eastAsia="仿宋" w:cs="Times New Roman"/>
          <w:sz w:val="24"/>
          <w:szCs w:val="24"/>
          <w:u w:val="single"/>
          <w:lang w:val="en-US" w:eastAsia="zh-CN"/>
        </w:rPr>
      </w:pPr>
      <w:r>
        <w:rPr>
          <w:rFonts w:hint="eastAsia" w:ascii="仿宋" w:hAnsi="仿宋" w:eastAsia="仿宋" w:cs="Times New Roman"/>
          <w:sz w:val="24"/>
          <w:szCs w:val="24"/>
          <w:lang w:val="zh-CN"/>
        </w:rPr>
        <w:t>甲方</w:t>
      </w:r>
      <w:r>
        <w:rPr>
          <w:rFonts w:hint="eastAsia" w:ascii="仿宋" w:hAnsi="仿宋" w:eastAsia="仿宋" w:cs="Times New Roman"/>
          <w:sz w:val="24"/>
          <w:szCs w:val="24"/>
        </w:rPr>
        <w:t>（需方）：</w:t>
      </w:r>
      <w:r>
        <w:rPr>
          <w:rFonts w:hint="eastAsia" w:ascii="仿宋" w:hAnsi="仿宋" w:eastAsia="仿宋" w:cs="Times New Roman"/>
          <w:sz w:val="24"/>
          <w:szCs w:val="24"/>
          <w:u w:val="single"/>
          <w:lang w:val="en-US" w:eastAsia="zh-CN"/>
        </w:rPr>
        <w:t xml:space="preserve">                   </w:t>
      </w:r>
    </w:p>
    <w:p w14:paraId="260A0C22">
      <w:pPr>
        <w:autoSpaceDE w:val="0"/>
        <w:autoSpaceDN w:val="0"/>
        <w:spacing w:line="360" w:lineRule="auto"/>
        <w:rPr>
          <w:rFonts w:hint="default" w:ascii="仿宋" w:hAnsi="仿宋" w:eastAsia="仿宋" w:cs="Times New Roman"/>
          <w:sz w:val="24"/>
          <w:szCs w:val="24"/>
          <w:lang w:val="en-US" w:eastAsia="zh-CN"/>
        </w:rPr>
      </w:pPr>
      <w:r>
        <w:rPr>
          <w:rFonts w:hint="eastAsia" w:ascii="仿宋" w:hAnsi="仿宋" w:eastAsia="仿宋" w:cs="Times New Roman"/>
          <w:sz w:val="24"/>
          <w:szCs w:val="24"/>
          <w:lang w:val="zh-CN"/>
        </w:rPr>
        <w:t>乙方</w:t>
      </w:r>
      <w:r>
        <w:rPr>
          <w:rFonts w:hint="eastAsia" w:ascii="仿宋" w:hAnsi="仿宋" w:eastAsia="仿宋" w:cs="Times New Roman"/>
          <w:sz w:val="24"/>
          <w:szCs w:val="24"/>
        </w:rPr>
        <w:t>（</w:t>
      </w:r>
      <w:r>
        <w:rPr>
          <w:rFonts w:hint="eastAsia" w:ascii="仿宋" w:hAnsi="仿宋" w:eastAsia="仿宋" w:cs="Times New Roman"/>
          <w:sz w:val="24"/>
          <w:szCs w:val="24"/>
          <w:lang w:val="zh-CN"/>
        </w:rPr>
        <w:t>供方</w:t>
      </w:r>
      <w:r>
        <w:rPr>
          <w:rFonts w:hint="eastAsia" w:ascii="仿宋" w:hAnsi="仿宋" w:eastAsia="仿宋" w:cs="Times New Roman"/>
          <w:sz w:val="24"/>
          <w:szCs w:val="24"/>
        </w:rPr>
        <w:t>）：</w:t>
      </w:r>
      <w:r>
        <w:rPr>
          <w:rFonts w:hint="eastAsia" w:ascii="仿宋" w:hAnsi="仿宋" w:eastAsia="仿宋" w:cs="Times New Roman"/>
          <w:sz w:val="24"/>
          <w:szCs w:val="24"/>
          <w:u w:val="single"/>
          <w:lang w:val="en-US" w:eastAsia="zh-CN"/>
        </w:rPr>
        <w:t xml:space="preserve">                     </w:t>
      </w:r>
    </w:p>
    <w:p w14:paraId="1111FA8E">
      <w:pPr>
        <w:tabs>
          <w:tab w:val="left" w:pos="126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为保证甲方</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lang w:val="zh-CN"/>
        </w:rPr>
        <w:t>项目</w:t>
      </w:r>
      <w:r>
        <w:rPr>
          <w:rFonts w:hint="eastAsia" w:ascii="仿宋" w:hAnsi="仿宋" w:eastAsia="仿宋" w:cs="Times New Roman"/>
          <w:sz w:val="24"/>
          <w:szCs w:val="24"/>
        </w:rPr>
        <w:t>（下称“</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w:t>
      </w:r>
      <w:r>
        <w:rPr>
          <w:rFonts w:hint="eastAsia" w:ascii="仿宋" w:hAnsi="仿宋" w:eastAsia="仿宋" w:cs="Times New Roman"/>
          <w:sz w:val="24"/>
          <w:szCs w:val="24"/>
          <w:u w:val="single"/>
        </w:rPr>
        <w:t>钢筋</w:t>
      </w:r>
      <w:r>
        <w:rPr>
          <w:rFonts w:hint="eastAsia" w:ascii="仿宋" w:hAnsi="仿宋" w:eastAsia="仿宋" w:cs="Times New Roman"/>
          <w:sz w:val="24"/>
          <w:szCs w:val="24"/>
        </w:rPr>
        <w:t>的平稳供应，满足甲方</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项目的</w:t>
      </w:r>
      <w:r>
        <w:rPr>
          <w:rFonts w:hint="eastAsia" w:ascii="仿宋" w:hAnsi="仿宋" w:eastAsia="仿宋" w:cs="Times New Roman"/>
          <w:sz w:val="24"/>
          <w:szCs w:val="24"/>
          <w:lang w:val="zh-CN"/>
        </w:rPr>
        <w:t>施工要求，甲乙双方拟就</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lang w:val="zh-CN"/>
        </w:rPr>
        <w:t>项目</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lang w:val="zh-CN"/>
        </w:rPr>
        <w:t>的需求与供应进行合作。经双方友好协商一致，</w:t>
      </w:r>
      <w:r>
        <w:rPr>
          <w:rFonts w:hint="eastAsia" w:ascii="仿宋" w:hAnsi="仿宋" w:eastAsia="仿宋" w:cs="Times New Roman"/>
          <w:sz w:val="24"/>
          <w:szCs w:val="24"/>
        </w:rPr>
        <w:t>特签订本合同，以便共同遵守</w:t>
      </w:r>
      <w:r>
        <w:rPr>
          <w:rFonts w:hint="eastAsia" w:ascii="仿宋" w:hAnsi="仿宋" w:eastAsia="仿宋" w:cs="Times New Roman"/>
          <w:sz w:val="24"/>
          <w:szCs w:val="24"/>
          <w:lang w:val="zh-CN"/>
        </w:rPr>
        <w:t>：</w:t>
      </w:r>
    </w:p>
    <w:p w14:paraId="33F9401F">
      <w:pPr>
        <w:spacing w:line="360" w:lineRule="auto"/>
        <w:ind w:firstLine="482" w:firstLineChars="200"/>
        <w:rPr>
          <w:rFonts w:hint="eastAsia" w:ascii="仿宋" w:hAnsi="仿宋" w:eastAsia="仿宋" w:cs="Times New Roman"/>
          <w:b/>
          <w:bCs/>
          <w:sz w:val="24"/>
          <w:szCs w:val="24"/>
        </w:rPr>
      </w:pPr>
      <w:r>
        <w:rPr>
          <w:rFonts w:hint="eastAsia" w:ascii="仿宋" w:hAnsi="仿宋" w:eastAsia="仿宋" w:cs="Times New Roman"/>
          <w:b/>
          <w:bCs/>
          <w:sz w:val="24"/>
          <w:szCs w:val="24"/>
        </w:rPr>
        <w:t>第一条  项目需求情况</w:t>
      </w:r>
    </w:p>
    <w:p w14:paraId="3EE001F0">
      <w:pPr>
        <w:spacing w:line="360" w:lineRule="auto"/>
        <w:ind w:firstLine="480" w:firstLineChars="200"/>
        <w:rPr>
          <w:rFonts w:hint="default" w:ascii="仿宋" w:hAnsi="仿宋" w:eastAsia="仿宋" w:cs="Times New Roman"/>
          <w:sz w:val="24"/>
          <w:szCs w:val="24"/>
          <w:u w:val="single"/>
          <w:lang w:val="en-US" w:eastAsia="zh-CN"/>
        </w:rPr>
      </w:pPr>
      <w:r>
        <w:rPr>
          <w:rFonts w:hint="eastAsia" w:ascii="仿宋" w:hAnsi="仿宋" w:eastAsia="仿宋" w:cs="Times New Roman"/>
          <w:sz w:val="24"/>
          <w:szCs w:val="24"/>
        </w:rPr>
        <w:t>1、合同标的：</w:t>
      </w:r>
      <w:r>
        <w:rPr>
          <w:rFonts w:hint="eastAsia" w:ascii="仿宋" w:hAnsi="仿宋" w:eastAsia="仿宋" w:cs="Times New Roman"/>
          <w:sz w:val="24"/>
          <w:szCs w:val="24"/>
          <w:u w:val="single"/>
          <w:lang w:val="en-US" w:eastAsia="zh-CN"/>
        </w:rPr>
        <w:t xml:space="preserve">     </w:t>
      </w:r>
    </w:p>
    <w:p w14:paraId="0F93734E">
      <w:pPr>
        <w:spacing w:line="360" w:lineRule="auto"/>
        <w:ind w:firstLine="480" w:firstLineChars="200"/>
        <w:rPr>
          <w:rFonts w:hint="default" w:ascii="仿宋" w:hAnsi="仿宋" w:eastAsia="仿宋" w:cs="Times New Roman"/>
          <w:sz w:val="24"/>
          <w:szCs w:val="24"/>
          <w:u w:val="single"/>
          <w:lang w:val="en-US" w:eastAsia="zh-CN"/>
        </w:rPr>
      </w:pPr>
      <w:r>
        <w:rPr>
          <w:rFonts w:hint="eastAsia" w:ascii="仿宋" w:hAnsi="仿宋" w:eastAsia="仿宋" w:cs="Times New Roman"/>
          <w:sz w:val="24"/>
          <w:szCs w:val="24"/>
        </w:rPr>
        <w:t>2、供应地点：</w:t>
      </w:r>
      <w:r>
        <w:rPr>
          <w:rFonts w:hint="eastAsia" w:ascii="仿宋" w:hAnsi="仿宋" w:eastAsia="仿宋" w:cs="Times New Roman"/>
          <w:sz w:val="24"/>
          <w:szCs w:val="24"/>
          <w:u w:val="single"/>
          <w:lang w:val="en-US" w:eastAsia="zh-CN"/>
        </w:rPr>
        <w:t xml:space="preserve">       </w:t>
      </w:r>
    </w:p>
    <w:p w14:paraId="3376D060">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3、供货时间：</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年</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月起至</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年</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月止（具体以甲方的需求计划为准）。</w:t>
      </w:r>
    </w:p>
    <w:p w14:paraId="0E3E644F">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 xml:space="preserve">4、材料品种、规格、数量、单价、金额 </w:t>
      </w:r>
    </w:p>
    <w:tbl>
      <w:tblPr>
        <w:tblStyle w:val="9"/>
        <w:tblW w:w="8700" w:type="dxa"/>
        <w:tblInd w:w="113" w:type="dxa"/>
        <w:tblLayout w:type="autofit"/>
        <w:tblCellMar>
          <w:top w:w="0" w:type="dxa"/>
          <w:left w:w="108" w:type="dxa"/>
          <w:bottom w:w="0" w:type="dxa"/>
          <w:right w:w="108" w:type="dxa"/>
        </w:tblCellMar>
      </w:tblPr>
      <w:tblGrid>
        <w:gridCol w:w="720"/>
        <w:gridCol w:w="1360"/>
        <w:gridCol w:w="720"/>
        <w:gridCol w:w="720"/>
        <w:gridCol w:w="1140"/>
        <w:gridCol w:w="1280"/>
        <w:gridCol w:w="1880"/>
        <w:gridCol w:w="880"/>
      </w:tblGrid>
      <w:tr w14:paraId="0C5930FB">
        <w:tblPrEx>
          <w:tblCellMar>
            <w:top w:w="0" w:type="dxa"/>
            <w:left w:w="108" w:type="dxa"/>
            <w:bottom w:w="0" w:type="dxa"/>
            <w:right w:w="108" w:type="dxa"/>
          </w:tblCellMar>
        </w:tblPrEx>
        <w:trPr>
          <w:trHeight w:val="570"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D2AF0BA">
            <w:pPr>
              <w:widowControl/>
              <w:jc w:val="center"/>
              <w:rPr>
                <w:rFonts w:ascii="仿宋" w:hAnsi="仿宋" w:eastAsia="仿宋" w:cs="宋体"/>
                <w:b/>
                <w:bCs/>
                <w:color w:val="000000"/>
                <w:kern w:val="0"/>
                <w:sz w:val="24"/>
                <w:szCs w:val="24"/>
              </w:rPr>
            </w:pPr>
            <w:r>
              <w:rPr>
                <w:rFonts w:hint="eastAsia" w:ascii="仿宋" w:hAnsi="仿宋" w:eastAsia="仿宋" w:cs="宋体"/>
                <w:b/>
                <w:bCs/>
                <w:color w:val="000000"/>
                <w:kern w:val="0"/>
                <w:sz w:val="24"/>
                <w:szCs w:val="24"/>
              </w:rPr>
              <w:t>序号</w:t>
            </w:r>
          </w:p>
        </w:tc>
        <w:tc>
          <w:tcPr>
            <w:tcW w:w="1360" w:type="dxa"/>
            <w:tcBorders>
              <w:top w:val="single" w:color="auto" w:sz="4" w:space="0"/>
              <w:left w:val="nil"/>
              <w:bottom w:val="single" w:color="auto" w:sz="4" w:space="0"/>
              <w:right w:val="single" w:color="auto" w:sz="4" w:space="0"/>
            </w:tcBorders>
            <w:noWrap w:val="0"/>
            <w:vAlign w:val="center"/>
          </w:tcPr>
          <w:p w14:paraId="3C250878">
            <w:pPr>
              <w:widowControl/>
              <w:jc w:val="center"/>
              <w:rPr>
                <w:rFonts w:hint="eastAsia" w:ascii="仿宋" w:hAnsi="仿宋" w:eastAsia="仿宋" w:cs="宋体"/>
                <w:b/>
                <w:bCs/>
                <w:color w:val="000000"/>
                <w:kern w:val="0"/>
                <w:sz w:val="24"/>
                <w:szCs w:val="24"/>
              </w:rPr>
            </w:pPr>
            <w:r>
              <w:rPr>
                <w:rFonts w:hint="eastAsia" w:ascii="仿宋" w:hAnsi="仿宋" w:eastAsia="仿宋" w:cs="宋体"/>
                <w:b/>
                <w:bCs/>
                <w:color w:val="000000"/>
                <w:kern w:val="0"/>
                <w:sz w:val="24"/>
                <w:szCs w:val="24"/>
              </w:rPr>
              <w:t>名称</w:t>
            </w:r>
          </w:p>
        </w:tc>
        <w:tc>
          <w:tcPr>
            <w:tcW w:w="720" w:type="dxa"/>
            <w:tcBorders>
              <w:top w:val="single" w:color="auto" w:sz="4" w:space="0"/>
              <w:left w:val="nil"/>
              <w:bottom w:val="single" w:color="auto" w:sz="4" w:space="0"/>
              <w:right w:val="single" w:color="auto" w:sz="4" w:space="0"/>
            </w:tcBorders>
            <w:noWrap w:val="0"/>
            <w:vAlign w:val="center"/>
          </w:tcPr>
          <w:p w14:paraId="4E109AE3">
            <w:pPr>
              <w:widowControl/>
              <w:jc w:val="center"/>
              <w:rPr>
                <w:rFonts w:hint="eastAsia" w:ascii="仿宋" w:hAnsi="仿宋" w:eastAsia="仿宋" w:cs="宋体"/>
                <w:b/>
                <w:bCs/>
                <w:color w:val="000000"/>
                <w:kern w:val="0"/>
                <w:sz w:val="24"/>
                <w:szCs w:val="24"/>
              </w:rPr>
            </w:pPr>
            <w:r>
              <w:rPr>
                <w:rFonts w:hint="eastAsia" w:ascii="仿宋" w:hAnsi="仿宋" w:eastAsia="仿宋" w:cs="宋体"/>
                <w:b/>
                <w:bCs/>
                <w:color w:val="000000"/>
                <w:kern w:val="0"/>
                <w:sz w:val="24"/>
                <w:szCs w:val="24"/>
              </w:rPr>
              <w:t>规格</w:t>
            </w:r>
          </w:p>
        </w:tc>
        <w:tc>
          <w:tcPr>
            <w:tcW w:w="720" w:type="dxa"/>
            <w:tcBorders>
              <w:top w:val="single" w:color="auto" w:sz="4" w:space="0"/>
              <w:left w:val="nil"/>
              <w:bottom w:val="single" w:color="auto" w:sz="4" w:space="0"/>
              <w:right w:val="single" w:color="auto" w:sz="4" w:space="0"/>
            </w:tcBorders>
            <w:noWrap w:val="0"/>
            <w:vAlign w:val="center"/>
          </w:tcPr>
          <w:p w14:paraId="2BE77967">
            <w:pPr>
              <w:widowControl/>
              <w:jc w:val="center"/>
              <w:rPr>
                <w:rFonts w:hint="eastAsia" w:ascii="仿宋" w:hAnsi="仿宋" w:eastAsia="仿宋" w:cs="宋体"/>
                <w:b/>
                <w:bCs/>
                <w:color w:val="000000"/>
                <w:kern w:val="0"/>
                <w:sz w:val="24"/>
                <w:szCs w:val="24"/>
              </w:rPr>
            </w:pPr>
            <w:r>
              <w:rPr>
                <w:rFonts w:hint="eastAsia" w:ascii="仿宋" w:hAnsi="仿宋" w:eastAsia="仿宋" w:cs="宋体"/>
                <w:b/>
                <w:bCs/>
                <w:color w:val="000000"/>
                <w:kern w:val="0"/>
                <w:sz w:val="24"/>
                <w:szCs w:val="24"/>
              </w:rPr>
              <w:t>单位</w:t>
            </w:r>
          </w:p>
        </w:tc>
        <w:tc>
          <w:tcPr>
            <w:tcW w:w="1140" w:type="dxa"/>
            <w:tcBorders>
              <w:top w:val="single" w:color="auto" w:sz="4" w:space="0"/>
              <w:left w:val="nil"/>
              <w:bottom w:val="single" w:color="auto" w:sz="4" w:space="0"/>
              <w:right w:val="single" w:color="auto" w:sz="4" w:space="0"/>
            </w:tcBorders>
            <w:noWrap w:val="0"/>
            <w:vAlign w:val="center"/>
          </w:tcPr>
          <w:p w14:paraId="4BC83C25">
            <w:pPr>
              <w:widowControl/>
              <w:jc w:val="center"/>
              <w:rPr>
                <w:rFonts w:hint="eastAsia" w:ascii="仿宋" w:hAnsi="仿宋" w:eastAsia="仿宋" w:cs="宋体"/>
                <w:b/>
                <w:bCs/>
                <w:color w:val="000000"/>
                <w:kern w:val="0"/>
                <w:sz w:val="24"/>
                <w:szCs w:val="24"/>
              </w:rPr>
            </w:pPr>
            <w:r>
              <w:rPr>
                <w:rFonts w:hint="eastAsia" w:ascii="仿宋" w:hAnsi="仿宋" w:eastAsia="仿宋" w:cs="宋体"/>
                <w:b/>
                <w:bCs/>
                <w:color w:val="000000"/>
                <w:kern w:val="0"/>
                <w:sz w:val="24"/>
                <w:szCs w:val="24"/>
              </w:rPr>
              <w:t>数量</w:t>
            </w:r>
          </w:p>
        </w:tc>
        <w:tc>
          <w:tcPr>
            <w:tcW w:w="1280" w:type="dxa"/>
            <w:tcBorders>
              <w:top w:val="single" w:color="auto" w:sz="4" w:space="0"/>
              <w:left w:val="nil"/>
              <w:bottom w:val="single" w:color="auto" w:sz="4" w:space="0"/>
              <w:right w:val="single" w:color="auto" w:sz="4" w:space="0"/>
            </w:tcBorders>
            <w:noWrap w:val="0"/>
            <w:vAlign w:val="center"/>
          </w:tcPr>
          <w:p w14:paraId="7A37442E">
            <w:pPr>
              <w:widowControl/>
              <w:jc w:val="center"/>
              <w:rPr>
                <w:rFonts w:hint="eastAsia" w:ascii="仿宋" w:hAnsi="仿宋" w:eastAsia="仿宋" w:cs="宋体"/>
                <w:b/>
                <w:bCs/>
                <w:color w:val="000000"/>
                <w:kern w:val="0"/>
                <w:sz w:val="24"/>
                <w:szCs w:val="24"/>
              </w:rPr>
            </w:pPr>
            <w:r>
              <w:rPr>
                <w:rFonts w:hint="eastAsia" w:ascii="仿宋" w:hAnsi="仿宋" w:eastAsia="仿宋" w:cs="宋体"/>
                <w:b/>
                <w:bCs/>
                <w:color w:val="000000"/>
                <w:kern w:val="0"/>
                <w:sz w:val="24"/>
                <w:szCs w:val="24"/>
              </w:rPr>
              <w:t>除税单价（元）</w:t>
            </w:r>
          </w:p>
        </w:tc>
        <w:tc>
          <w:tcPr>
            <w:tcW w:w="1880" w:type="dxa"/>
            <w:tcBorders>
              <w:top w:val="single" w:color="auto" w:sz="4" w:space="0"/>
              <w:left w:val="nil"/>
              <w:bottom w:val="single" w:color="auto" w:sz="4" w:space="0"/>
              <w:right w:val="single" w:color="auto" w:sz="4" w:space="0"/>
            </w:tcBorders>
            <w:noWrap w:val="0"/>
            <w:vAlign w:val="center"/>
          </w:tcPr>
          <w:p w14:paraId="1F36C411">
            <w:pPr>
              <w:widowControl/>
              <w:jc w:val="center"/>
              <w:rPr>
                <w:rFonts w:hint="eastAsia" w:ascii="仿宋" w:hAnsi="仿宋" w:eastAsia="仿宋" w:cs="宋体"/>
                <w:b/>
                <w:bCs/>
                <w:color w:val="000000"/>
                <w:kern w:val="0"/>
                <w:sz w:val="24"/>
                <w:szCs w:val="24"/>
              </w:rPr>
            </w:pPr>
            <w:r>
              <w:rPr>
                <w:rFonts w:hint="eastAsia" w:ascii="仿宋" w:hAnsi="仿宋" w:eastAsia="仿宋" w:cs="宋体"/>
                <w:b/>
                <w:bCs/>
                <w:color w:val="000000"/>
                <w:kern w:val="0"/>
                <w:sz w:val="24"/>
                <w:szCs w:val="24"/>
              </w:rPr>
              <w:t>除税合计金额（元）</w:t>
            </w:r>
          </w:p>
        </w:tc>
        <w:tc>
          <w:tcPr>
            <w:tcW w:w="880" w:type="dxa"/>
            <w:tcBorders>
              <w:top w:val="single" w:color="auto" w:sz="4" w:space="0"/>
              <w:left w:val="nil"/>
              <w:bottom w:val="single" w:color="auto" w:sz="4" w:space="0"/>
              <w:right w:val="single" w:color="auto" w:sz="4" w:space="0"/>
            </w:tcBorders>
            <w:noWrap w:val="0"/>
            <w:vAlign w:val="center"/>
          </w:tcPr>
          <w:p w14:paraId="017AB62F">
            <w:pPr>
              <w:widowControl/>
              <w:jc w:val="center"/>
              <w:rPr>
                <w:rFonts w:hint="eastAsia" w:ascii="仿宋" w:hAnsi="仿宋" w:eastAsia="仿宋" w:cs="宋体"/>
                <w:b/>
                <w:bCs/>
                <w:color w:val="000000"/>
                <w:kern w:val="0"/>
                <w:sz w:val="24"/>
                <w:szCs w:val="24"/>
              </w:rPr>
            </w:pPr>
            <w:r>
              <w:rPr>
                <w:rFonts w:hint="eastAsia" w:ascii="仿宋" w:hAnsi="仿宋" w:eastAsia="仿宋" w:cs="宋体"/>
                <w:b/>
                <w:bCs/>
                <w:color w:val="000000"/>
                <w:kern w:val="0"/>
                <w:sz w:val="24"/>
                <w:szCs w:val="24"/>
              </w:rPr>
              <w:t>备注</w:t>
            </w:r>
          </w:p>
        </w:tc>
      </w:tr>
      <w:tr w14:paraId="3B6ECBEB">
        <w:tblPrEx>
          <w:tblCellMar>
            <w:top w:w="0" w:type="dxa"/>
            <w:left w:w="108" w:type="dxa"/>
            <w:bottom w:w="0" w:type="dxa"/>
            <w:right w:w="108" w:type="dxa"/>
          </w:tblCellMar>
        </w:tblPrEx>
        <w:trPr>
          <w:trHeight w:val="375" w:hRule="atLeast"/>
        </w:trPr>
        <w:tc>
          <w:tcPr>
            <w:tcW w:w="720" w:type="dxa"/>
            <w:tcBorders>
              <w:top w:val="nil"/>
              <w:left w:val="single" w:color="auto" w:sz="4" w:space="0"/>
              <w:bottom w:val="single" w:color="auto" w:sz="4" w:space="0"/>
              <w:right w:val="single" w:color="auto" w:sz="4" w:space="0"/>
            </w:tcBorders>
            <w:noWrap w:val="0"/>
            <w:vAlign w:val="center"/>
          </w:tcPr>
          <w:p w14:paraId="00FF3000">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1360" w:type="dxa"/>
            <w:tcBorders>
              <w:top w:val="nil"/>
              <w:left w:val="nil"/>
              <w:bottom w:val="single" w:color="auto" w:sz="4" w:space="0"/>
              <w:right w:val="single" w:color="auto" w:sz="4" w:space="0"/>
            </w:tcBorders>
            <w:noWrap w:val="0"/>
            <w:vAlign w:val="center"/>
          </w:tcPr>
          <w:p w14:paraId="2624A723">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圆钢</w:t>
            </w:r>
          </w:p>
        </w:tc>
        <w:tc>
          <w:tcPr>
            <w:tcW w:w="720" w:type="dxa"/>
            <w:tcBorders>
              <w:top w:val="nil"/>
              <w:left w:val="nil"/>
              <w:bottom w:val="single" w:color="auto" w:sz="4" w:space="0"/>
              <w:right w:val="single" w:color="auto" w:sz="4" w:space="0"/>
            </w:tcBorders>
            <w:noWrap w:val="0"/>
            <w:vAlign w:val="center"/>
          </w:tcPr>
          <w:p w14:paraId="2DC02529">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Ф8</w:t>
            </w:r>
          </w:p>
        </w:tc>
        <w:tc>
          <w:tcPr>
            <w:tcW w:w="720" w:type="dxa"/>
            <w:tcBorders>
              <w:top w:val="nil"/>
              <w:left w:val="nil"/>
              <w:bottom w:val="single" w:color="auto" w:sz="4" w:space="0"/>
              <w:right w:val="single" w:color="auto" w:sz="4" w:space="0"/>
            </w:tcBorders>
            <w:noWrap w:val="0"/>
            <w:vAlign w:val="center"/>
          </w:tcPr>
          <w:p w14:paraId="7F7FFA58">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T</w:t>
            </w:r>
          </w:p>
        </w:tc>
        <w:tc>
          <w:tcPr>
            <w:tcW w:w="1140" w:type="dxa"/>
            <w:tcBorders>
              <w:top w:val="nil"/>
              <w:left w:val="nil"/>
              <w:bottom w:val="single" w:color="auto" w:sz="4" w:space="0"/>
              <w:right w:val="single" w:color="auto" w:sz="4" w:space="0"/>
            </w:tcBorders>
            <w:noWrap w:val="0"/>
            <w:vAlign w:val="top"/>
          </w:tcPr>
          <w:p w14:paraId="2B71A869">
            <w:pPr>
              <w:spacing w:beforeLines="0" w:afterLines="0"/>
              <w:jc w:val="center"/>
              <w:rPr>
                <w:rFonts w:hint="eastAsia" w:ascii="宋体" w:hAnsi="宋体" w:eastAsia="宋体" w:cs="宋体"/>
                <w:color w:val="000000"/>
                <w:kern w:val="0"/>
                <w:sz w:val="24"/>
                <w:szCs w:val="24"/>
              </w:rPr>
            </w:pPr>
            <w:r>
              <w:rPr>
                <w:rFonts w:hint="eastAsia" w:ascii="宋体" w:hAnsi="宋体" w:eastAsia="宋体" w:cs="Times New Roman"/>
                <w:color w:val="000000"/>
                <w:sz w:val="24"/>
                <w:szCs w:val="24"/>
              </w:rPr>
              <w:t>3.03</w:t>
            </w:r>
          </w:p>
        </w:tc>
        <w:tc>
          <w:tcPr>
            <w:tcW w:w="1280" w:type="dxa"/>
            <w:tcBorders>
              <w:top w:val="nil"/>
              <w:left w:val="nil"/>
              <w:bottom w:val="single" w:color="auto" w:sz="4" w:space="0"/>
              <w:right w:val="single" w:color="auto" w:sz="4" w:space="0"/>
            </w:tcBorders>
            <w:noWrap w:val="0"/>
            <w:vAlign w:val="center"/>
          </w:tcPr>
          <w:p w14:paraId="35DDD987">
            <w:pPr>
              <w:widowControl/>
              <w:jc w:val="center"/>
              <w:rPr>
                <w:rFonts w:hint="eastAsia" w:ascii="宋体" w:hAnsi="宋体" w:eastAsia="宋体" w:cs="宋体"/>
                <w:color w:val="000000"/>
                <w:kern w:val="0"/>
                <w:sz w:val="24"/>
                <w:szCs w:val="24"/>
              </w:rPr>
            </w:pPr>
          </w:p>
        </w:tc>
        <w:tc>
          <w:tcPr>
            <w:tcW w:w="1880" w:type="dxa"/>
            <w:tcBorders>
              <w:top w:val="nil"/>
              <w:left w:val="nil"/>
              <w:bottom w:val="single" w:color="auto" w:sz="4" w:space="0"/>
              <w:right w:val="single" w:color="auto" w:sz="4" w:space="0"/>
            </w:tcBorders>
            <w:noWrap w:val="0"/>
            <w:vAlign w:val="top"/>
          </w:tcPr>
          <w:p w14:paraId="6DCF3222">
            <w:pPr>
              <w:spacing w:beforeLines="0" w:afterLines="0"/>
              <w:jc w:val="center"/>
              <w:rPr>
                <w:rFonts w:hint="eastAsia" w:ascii="宋体" w:hAnsi="宋体" w:eastAsia="宋体" w:cs="宋体"/>
                <w:color w:val="000000"/>
                <w:kern w:val="0"/>
                <w:sz w:val="24"/>
                <w:szCs w:val="24"/>
              </w:rPr>
            </w:pPr>
          </w:p>
        </w:tc>
        <w:tc>
          <w:tcPr>
            <w:tcW w:w="880" w:type="dxa"/>
            <w:tcBorders>
              <w:top w:val="nil"/>
              <w:left w:val="nil"/>
              <w:bottom w:val="single" w:color="auto" w:sz="4" w:space="0"/>
              <w:right w:val="single" w:color="auto" w:sz="4" w:space="0"/>
            </w:tcBorders>
            <w:noWrap w:val="0"/>
            <w:vAlign w:val="center"/>
          </w:tcPr>
          <w:p w14:paraId="5FB7EC70">
            <w:pPr>
              <w:widowControl/>
              <w:jc w:val="center"/>
              <w:rPr>
                <w:rFonts w:hint="eastAsia" w:ascii="仿宋" w:hAnsi="仿宋" w:eastAsia="仿宋" w:cs="宋体"/>
                <w:color w:val="000000"/>
                <w:kern w:val="0"/>
                <w:sz w:val="24"/>
                <w:szCs w:val="24"/>
              </w:rPr>
            </w:pPr>
          </w:p>
        </w:tc>
      </w:tr>
      <w:tr w14:paraId="64211CE4">
        <w:tblPrEx>
          <w:tblCellMar>
            <w:top w:w="0" w:type="dxa"/>
            <w:left w:w="108" w:type="dxa"/>
            <w:bottom w:w="0" w:type="dxa"/>
            <w:right w:w="108" w:type="dxa"/>
          </w:tblCellMar>
        </w:tblPrEx>
        <w:trPr>
          <w:trHeight w:val="375" w:hRule="atLeast"/>
        </w:trPr>
        <w:tc>
          <w:tcPr>
            <w:tcW w:w="720" w:type="dxa"/>
            <w:tcBorders>
              <w:top w:val="nil"/>
              <w:left w:val="single" w:color="auto" w:sz="4" w:space="0"/>
              <w:bottom w:val="single" w:color="auto" w:sz="4" w:space="0"/>
              <w:right w:val="single" w:color="auto" w:sz="4" w:space="0"/>
            </w:tcBorders>
            <w:noWrap w:val="0"/>
            <w:vAlign w:val="center"/>
          </w:tcPr>
          <w:p w14:paraId="7AB5C9A7">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1360" w:type="dxa"/>
            <w:tcBorders>
              <w:top w:val="nil"/>
              <w:left w:val="nil"/>
              <w:bottom w:val="single" w:color="auto" w:sz="4" w:space="0"/>
              <w:right w:val="single" w:color="auto" w:sz="4" w:space="0"/>
            </w:tcBorders>
            <w:noWrap w:val="0"/>
            <w:vAlign w:val="center"/>
          </w:tcPr>
          <w:p w14:paraId="3CCDD075">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圆钢</w:t>
            </w:r>
          </w:p>
        </w:tc>
        <w:tc>
          <w:tcPr>
            <w:tcW w:w="720" w:type="dxa"/>
            <w:tcBorders>
              <w:top w:val="nil"/>
              <w:left w:val="nil"/>
              <w:bottom w:val="single" w:color="auto" w:sz="4" w:space="0"/>
              <w:right w:val="single" w:color="auto" w:sz="4" w:space="0"/>
            </w:tcBorders>
            <w:noWrap w:val="0"/>
            <w:vAlign w:val="center"/>
          </w:tcPr>
          <w:p w14:paraId="6E4A75F3">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Ф10</w:t>
            </w:r>
          </w:p>
        </w:tc>
        <w:tc>
          <w:tcPr>
            <w:tcW w:w="720" w:type="dxa"/>
            <w:tcBorders>
              <w:top w:val="nil"/>
              <w:left w:val="nil"/>
              <w:bottom w:val="single" w:color="auto" w:sz="4" w:space="0"/>
              <w:right w:val="single" w:color="auto" w:sz="4" w:space="0"/>
            </w:tcBorders>
            <w:noWrap w:val="0"/>
            <w:vAlign w:val="center"/>
          </w:tcPr>
          <w:p w14:paraId="18599F40">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T</w:t>
            </w:r>
          </w:p>
        </w:tc>
        <w:tc>
          <w:tcPr>
            <w:tcW w:w="1140" w:type="dxa"/>
            <w:tcBorders>
              <w:top w:val="nil"/>
              <w:left w:val="nil"/>
              <w:bottom w:val="single" w:color="auto" w:sz="4" w:space="0"/>
              <w:right w:val="single" w:color="auto" w:sz="4" w:space="0"/>
            </w:tcBorders>
            <w:noWrap w:val="0"/>
            <w:vAlign w:val="top"/>
          </w:tcPr>
          <w:p w14:paraId="54AE7A10">
            <w:pPr>
              <w:spacing w:beforeLines="0" w:afterLines="0"/>
              <w:jc w:val="center"/>
              <w:rPr>
                <w:rFonts w:hint="eastAsia" w:ascii="宋体" w:hAnsi="宋体" w:eastAsia="宋体" w:cs="宋体"/>
                <w:color w:val="000000"/>
                <w:kern w:val="0"/>
                <w:sz w:val="24"/>
                <w:szCs w:val="24"/>
              </w:rPr>
            </w:pPr>
            <w:r>
              <w:rPr>
                <w:rFonts w:hint="eastAsia" w:ascii="宋体" w:hAnsi="宋体" w:eastAsia="宋体" w:cs="Times New Roman"/>
                <w:color w:val="000000"/>
                <w:sz w:val="24"/>
                <w:szCs w:val="24"/>
              </w:rPr>
              <w:t>5.58</w:t>
            </w:r>
          </w:p>
        </w:tc>
        <w:tc>
          <w:tcPr>
            <w:tcW w:w="1280" w:type="dxa"/>
            <w:tcBorders>
              <w:top w:val="nil"/>
              <w:left w:val="nil"/>
              <w:bottom w:val="single" w:color="auto" w:sz="4" w:space="0"/>
              <w:right w:val="single" w:color="auto" w:sz="4" w:space="0"/>
            </w:tcBorders>
            <w:noWrap w:val="0"/>
            <w:vAlign w:val="center"/>
          </w:tcPr>
          <w:p w14:paraId="4129B05A">
            <w:pPr>
              <w:widowControl/>
              <w:jc w:val="center"/>
              <w:rPr>
                <w:rFonts w:hint="eastAsia" w:ascii="宋体" w:hAnsi="宋体" w:eastAsia="宋体" w:cs="宋体"/>
                <w:color w:val="000000"/>
                <w:kern w:val="0"/>
                <w:sz w:val="24"/>
                <w:szCs w:val="24"/>
              </w:rPr>
            </w:pPr>
          </w:p>
        </w:tc>
        <w:tc>
          <w:tcPr>
            <w:tcW w:w="1880" w:type="dxa"/>
            <w:tcBorders>
              <w:top w:val="nil"/>
              <w:left w:val="nil"/>
              <w:bottom w:val="single" w:color="auto" w:sz="4" w:space="0"/>
              <w:right w:val="single" w:color="auto" w:sz="4" w:space="0"/>
            </w:tcBorders>
            <w:noWrap w:val="0"/>
            <w:vAlign w:val="top"/>
          </w:tcPr>
          <w:p w14:paraId="5F3D2833">
            <w:pPr>
              <w:spacing w:beforeLines="0" w:afterLines="0"/>
              <w:jc w:val="center"/>
              <w:rPr>
                <w:rFonts w:hint="eastAsia" w:ascii="宋体" w:hAnsi="宋体" w:eastAsia="宋体" w:cs="宋体"/>
                <w:color w:val="000000"/>
                <w:kern w:val="0"/>
                <w:sz w:val="24"/>
                <w:szCs w:val="24"/>
              </w:rPr>
            </w:pPr>
          </w:p>
        </w:tc>
        <w:tc>
          <w:tcPr>
            <w:tcW w:w="880" w:type="dxa"/>
            <w:tcBorders>
              <w:top w:val="nil"/>
              <w:left w:val="nil"/>
              <w:bottom w:val="single" w:color="auto" w:sz="4" w:space="0"/>
              <w:right w:val="single" w:color="auto" w:sz="4" w:space="0"/>
            </w:tcBorders>
            <w:noWrap w:val="0"/>
            <w:vAlign w:val="center"/>
          </w:tcPr>
          <w:p w14:paraId="16C70BAC">
            <w:pPr>
              <w:widowControl/>
              <w:jc w:val="center"/>
              <w:rPr>
                <w:rFonts w:hint="eastAsia" w:ascii="仿宋" w:hAnsi="仿宋" w:eastAsia="仿宋" w:cs="宋体"/>
                <w:color w:val="000000"/>
                <w:kern w:val="0"/>
                <w:sz w:val="24"/>
                <w:szCs w:val="24"/>
              </w:rPr>
            </w:pPr>
          </w:p>
        </w:tc>
      </w:tr>
      <w:tr w14:paraId="617F706B">
        <w:tblPrEx>
          <w:tblCellMar>
            <w:top w:w="0" w:type="dxa"/>
            <w:left w:w="108" w:type="dxa"/>
            <w:bottom w:w="0" w:type="dxa"/>
            <w:right w:w="108" w:type="dxa"/>
          </w:tblCellMar>
        </w:tblPrEx>
        <w:trPr>
          <w:trHeight w:val="375" w:hRule="atLeast"/>
        </w:trPr>
        <w:tc>
          <w:tcPr>
            <w:tcW w:w="720" w:type="dxa"/>
            <w:tcBorders>
              <w:top w:val="nil"/>
              <w:left w:val="single" w:color="auto" w:sz="4" w:space="0"/>
              <w:bottom w:val="single" w:color="auto" w:sz="4" w:space="0"/>
              <w:right w:val="single" w:color="auto" w:sz="4" w:space="0"/>
            </w:tcBorders>
            <w:noWrap w:val="0"/>
            <w:vAlign w:val="center"/>
          </w:tcPr>
          <w:p w14:paraId="338C91BD">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1360" w:type="dxa"/>
            <w:tcBorders>
              <w:top w:val="nil"/>
              <w:left w:val="nil"/>
              <w:bottom w:val="single" w:color="auto" w:sz="4" w:space="0"/>
              <w:right w:val="single" w:color="auto" w:sz="4" w:space="0"/>
            </w:tcBorders>
            <w:noWrap w:val="0"/>
            <w:vAlign w:val="center"/>
          </w:tcPr>
          <w:p w14:paraId="72FF42C0">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螺纹钢筋</w:t>
            </w:r>
          </w:p>
        </w:tc>
        <w:tc>
          <w:tcPr>
            <w:tcW w:w="720" w:type="dxa"/>
            <w:tcBorders>
              <w:top w:val="nil"/>
              <w:left w:val="nil"/>
              <w:bottom w:val="single" w:color="auto" w:sz="4" w:space="0"/>
              <w:right w:val="single" w:color="auto" w:sz="4" w:space="0"/>
            </w:tcBorders>
            <w:noWrap w:val="0"/>
            <w:vAlign w:val="center"/>
          </w:tcPr>
          <w:p w14:paraId="351C0935">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Ф8</w:t>
            </w:r>
          </w:p>
        </w:tc>
        <w:tc>
          <w:tcPr>
            <w:tcW w:w="720" w:type="dxa"/>
            <w:tcBorders>
              <w:top w:val="nil"/>
              <w:left w:val="nil"/>
              <w:bottom w:val="single" w:color="auto" w:sz="4" w:space="0"/>
              <w:right w:val="single" w:color="auto" w:sz="4" w:space="0"/>
            </w:tcBorders>
            <w:noWrap w:val="0"/>
            <w:vAlign w:val="center"/>
          </w:tcPr>
          <w:p w14:paraId="4F215F31">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T</w:t>
            </w:r>
          </w:p>
        </w:tc>
        <w:tc>
          <w:tcPr>
            <w:tcW w:w="1140" w:type="dxa"/>
            <w:tcBorders>
              <w:top w:val="nil"/>
              <w:left w:val="nil"/>
              <w:bottom w:val="single" w:color="auto" w:sz="4" w:space="0"/>
              <w:right w:val="single" w:color="auto" w:sz="4" w:space="0"/>
            </w:tcBorders>
            <w:noWrap w:val="0"/>
            <w:vAlign w:val="top"/>
          </w:tcPr>
          <w:p w14:paraId="044D69E1">
            <w:pPr>
              <w:spacing w:beforeLines="0" w:afterLines="0"/>
              <w:jc w:val="center"/>
              <w:rPr>
                <w:rFonts w:hint="eastAsia" w:ascii="宋体" w:hAnsi="宋体" w:eastAsia="宋体" w:cs="宋体"/>
                <w:color w:val="000000"/>
                <w:kern w:val="0"/>
                <w:sz w:val="24"/>
                <w:szCs w:val="24"/>
              </w:rPr>
            </w:pPr>
            <w:r>
              <w:rPr>
                <w:rFonts w:hint="eastAsia" w:ascii="宋体" w:hAnsi="宋体" w:eastAsia="宋体" w:cs="Times New Roman"/>
                <w:color w:val="000000"/>
                <w:sz w:val="24"/>
                <w:szCs w:val="24"/>
              </w:rPr>
              <w:t>29.60</w:t>
            </w:r>
          </w:p>
        </w:tc>
        <w:tc>
          <w:tcPr>
            <w:tcW w:w="1280" w:type="dxa"/>
            <w:tcBorders>
              <w:top w:val="nil"/>
              <w:left w:val="nil"/>
              <w:bottom w:val="single" w:color="auto" w:sz="4" w:space="0"/>
              <w:right w:val="single" w:color="auto" w:sz="4" w:space="0"/>
            </w:tcBorders>
            <w:noWrap w:val="0"/>
            <w:vAlign w:val="center"/>
          </w:tcPr>
          <w:p w14:paraId="664CC0B8">
            <w:pPr>
              <w:widowControl/>
              <w:jc w:val="center"/>
              <w:rPr>
                <w:rFonts w:hint="eastAsia" w:ascii="宋体" w:hAnsi="宋体" w:eastAsia="宋体" w:cs="宋体"/>
                <w:color w:val="000000"/>
                <w:kern w:val="0"/>
                <w:sz w:val="24"/>
                <w:szCs w:val="24"/>
              </w:rPr>
            </w:pPr>
          </w:p>
        </w:tc>
        <w:tc>
          <w:tcPr>
            <w:tcW w:w="1880" w:type="dxa"/>
            <w:tcBorders>
              <w:top w:val="nil"/>
              <w:left w:val="nil"/>
              <w:bottom w:val="single" w:color="auto" w:sz="4" w:space="0"/>
              <w:right w:val="single" w:color="auto" w:sz="4" w:space="0"/>
            </w:tcBorders>
            <w:noWrap w:val="0"/>
            <w:vAlign w:val="top"/>
          </w:tcPr>
          <w:p w14:paraId="0B41BFF7">
            <w:pPr>
              <w:spacing w:beforeLines="0" w:afterLines="0"/>
              <w:jc w:val="center"/>
              <w:rPr>
                <w:rFonts w:hint="eastAsia" w:ascii="宋体" w:hAnsi="宋体" w:eastAsia="宋体" w:cs="宋体"/>
                <w:color w:val="000000"/>
                <w:kern w:val="0"/>
                <w:sz w:val="24"/>
                <w:szCs w:val="24"/>
              </w:rPr>
            </w:pPr>
          </w:p>
        </w:tc>
        <w:tc>
          <w:tcPr>
            <w:tcW w:w="880" w:type="dxa"/>
            <w:tcBorders>
              <w:top w:val="nil"/>
              <w:left w:val="nil"/>
              <w:bottom w:val="single" w:color="auto" w:sz="4" w:space="0"/>
              <w:right w:val="single" w:color="auto" w:sz="4" w:space="0"/>
            </w:tcBorders>
            <w:noWrap w:val="0"/>
            <w:vAlign w:val="center"/>
          </w:tcPr>
          <w:p w14:paraId="435A1939">
            <w:pPr>
              <w:widowControl/>
              <w:jc w:val="center"/>
              <w:rPr>
                <w:rFonts w:hint="eastAsia" w:ascii="仿宋" w:hAnsi="仿宋" w:eastAsia="仿宋" w:cs="宋体"/>
                <w:color w:val="000000"/>
                <w:kern w:val="0"/>
                <w:sz w:val="24"/>
                <w:szCs w:val="24"/>
              </w:rPr>
            </w:pPr>
          </w:p>
        </w:tc>
      </w:tr>
      <w:tr w14:paraId="27E39C29">
        <w:tblPrEx>
          <w:tblCellMar>
            <w:top w:w="0" w:type="dxa"/>
            <w:left w:w="108" w:type="dxa"/>
            <w:bottom w:w="0" w:type="dxa"/>
            <w:right w:w="108" w:type="dxa"/>
          </w:tblCellMar>
        </w:tblPrEx>
        <w:trPr>
          <w:trHeight w:val="375" w:hRule="atLeast"/>
        </w:trPr>
        <w:tc>
          <w:tcPr>
            <w:tcW w:w="720" w:type="dxa"/>
            <w:tcBorders>
              <w:top w:val="nil"/>
              <w:left w:val="single" w:color="auto" w:sz="4" w:space="0"/>
              <w:bottom w:val="single" w:color="auto" w:sz="4" w:space="0"/>
              <w:right w:val="single" w:color="auto" w:sz="4" w:space="0"/>
            </w:tcBorders>
            <w:noWrap w:val="0"/>
            <w:vAlign w:val="center"/>
          </w:tcPr>
          <w:p w14:paraId="52A60534">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1360" w:type="dxa"/>
            <w:tcBorders>
              <w:top w:val="nil"/>
              <w:left w:val="nil"/>
              <w:bottom w:val="single" w:color="auto" w:sz="4" w:space="0"/>
              <w:right w:val="single" w:color="auto" w:sz="4" w:space="0"/>
            </w:tcBorders>
            <w:noWrap w:val="0"/>
            <w:vAlign w:val="center"/>
          </w:tcPr>
          <w:p w14:paraId="20254C68">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螺纹钢筋</w:t>
            </w:r>
          </w:p>
        </w:tc>
        <w:tc>
          <w:tcPr>
            <w:tcW w:w="720" w:type="dxa"/>
            <w:tcBorders>
              <w:top w:val="nil"/>
              <w:left w:val="nil"/>
              <w:bottom w:val="single" w:color="auto" w:sz="4" w:space="0"/>
              <w:right w:val="single" w:color="auto" w:sz="4" w:space="0"/>
            </w:tcBorders>
            <w:noWrap w:val="0"/>
            <w:vAlign w:val="center"/>
          </w:tcPr>
          <w:p w14:paraId="2EDF61A8">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Ф10</w:t>
            </w:r>
          </w:p>
        </w:tc>
        <w:tc>
          <w:tcPr>
            <w:tcW w:w="720" w:type="dxa"/>
            <w:tcBorders>
              <w:top w:val="nil"/>
              <w:left w:val="nil"/>
              <w:bottom w:val="single" w:color="auto" w:sz="4" w:space="0"/>
              <w:right w:val="single" w:color="auto" w:sz="4" w:space="0"/>
            </w:tcBorders>
            <w:noWrap w:val="0"/>
            <w:vAlign w:val="center"/>
          </w:tcPr>
          <w:p w14:paraId="175E69C6">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T</w:t>
            </w:r>
          </w:p>
        </w:tc>
        <w:tc>
          <w:tcPr>
            <w:tcW w:w="1140" w:type="dxa"/>
            <w:tcBorders>
              <w:top w:val="nil"/>
              <w:left w:val="nil"/>
              <w:bottom w:val="single" w:color="auto" w:sz="4" w:space="0"/>
              <w:right w:val="single" w:color="auto" w:sz="4" w:space="0"/>
            </w:tcBorders>
            <w:noWrap w:val="0"/>
            <w:vAlign w:val="top"/>
          </w:tcPr>
          <w:p w14:paraId="3D9E0F95">
            <w:pPr>
              <w:spacing w:beforeLines="0" w:afterLines="0"/>
              <w:jc w:val="center"/>
              <w:rPr>
                <w:rFonts w:hint="eastAsia" w:ascii="宋体" w:hAnsi="宋体" w:eastAsia="宋体" w:cs="宋体"/>
                <w:color w:val="000000"/>
                <w:kern w:val="0"/>
                <w:sz w:val="24"/>
                <w:szCs w:val="24"/>
              </w:rPr>
            </w:pPr>
            <w:r>
              <w:rPr>
                <w:rFonts w:hint="eastAsia" w:ascii="宋体" w:hAnsi="宋体" w:eastAsia="宋体" w:cs="Times New Roman"/>
                <w:color w:val="000000"/>
                <w:sz w:val="24"/>
                <w:szCs w:val="24"/>
              </w:rPr>
              <w:t>38.67</w:t>
            </w:r>
          </w:p>
        </w:tc>
        <w:tc>
          <w:tcPr>
            <w:tcW w:w="1280" w:type="dxa"/>
            <w:tcBorders>
              <w:top w:val="nil"/>
              <w:left w:val="nil"/>
              <w:bottom w:val="single" w:color="auto" w:sz="4" w:space="0"/>
              <w:right w:val="single" w:color="auto" w:sz="4" w:space="0"/>
            </w:tcBorders>
            <w:noWrap w:val="0"/>
            <w:vAlign w:val="center"/>
          </w:tcPr>
          <w:p w14:paraId="7B893859">
            <w:pPr>
              <w:widowControl/>
              <w:jc w:val="center"/>
              <w:rPr>
                <w:rFonts w:hint="eastAsia" w:ascii="宋体" w:hAnsi="宋体" w:eastAsia="宋体" w:cs="宋体"/>
                <w:color w:val="000000"/>
                <w:kern w:val="0"/>
                <w:sz w:val="24"/>
                <w:szCs w:val="24"/>
              </w:rPr>
            </w:pPr>
          </w:p>
        </w:tc>
        <w:tc>
          <w:tcPr>
            <w:tcW w:w="1880" w:type="dxa"/>
            <w:tcBorders>
              <w:top w:val="nil"/>
              <w:left w:val="nil"/>
              <w:bottom w:val="single" w:color="auto" w:sz="4" w:space="0"/>
              <w:right w:val="single" w:color="auto" w:sz="4" w:space="0"/>
            </w:tcBorders>
            <w:noWrap w:val="0"/>
            <w:vAlign w:val="top"/>
          </w:tcPr>
          <w:p w14:paraId="3B104A64">
            <w:pPr>
              <w:spacing w:beforeLines="0" w:afterLines="0"/>
              <w:jc w:val="center"/>
              <w:rPr>
                <w:rFonts w:hint="eastAsia" w:ascii="宋体" w:hAnsi="宋体" w:eastAsia="宋体" w:cs="宋体"/>
                <w:color w:val="000000"/>
                <w:kern w:val="0"/>
                <w:sz w:val="24"/>
                <w:szCs w:val="24"/>
              </w:rPr>
            </w:pPr>
          </w:p>
        </w:tc>
        <w:tc>
          <w:tcPr>
            <w:tcW w:w="880" w:type="dxa"/>
            <w:tcBorders>
              <w:top w:val="nil"/>
              <w:left w:val="nil"/>
              <w:bottom w:val="single" w:color="auto" w:sz="4" w:space="0"/>
              <w:right w:val="single" w:color="auto" w:sz="4" w:space="0"/>
            </w:tcBorders>
            <w:noWrap w:val="0"/>
            <w:vAlign w:val="center"/>
          </w:tcPr>
          <w:p w14:paraId="7720B4B3">
            <w:pPr>
              <w:widowControl/>
              <w:jc w:val="center"/>
              <w:rPr>
                <w:rFonts w:hint="eastAsia" w:ascii="仿宋" w:hAnsi="仿宋" w:eastAsia="仿宋" w:cs="宋体"/>
                <w:color w:val="000000"/>
                <w:kern w:val="0"/>
                <w:sz w:val="24"/>
                <w:szCs w:val="24"/>
              </w:rPr>
            </w:pPr>
          </w:p>
        </w:tc>
      </w:tr>
      <w:tr w14:paraId="53406ABA">
        <w:tblPrEx>
          <w:tblCellMar>
            <w:top w:w="0" w:type="dxa"/>
            <w:left w:w="108" w:type="dxa"/>
            <w:bottom w:w="0" w:type="dxa"/>
            <w:right w:w="108" w:type="dxa"/>
          </w:tblCellMar>
        </w:tblPrEx>
        <w:trPr>
          <w:trHeight w:val="375" w:hRule="atLeast"/>
        </w:trPr>
        <w:tc>
          <w:tcPr>
            <w:tcW w:w="720" w:type="dxa"/>
            <w:tcBorders>
              <w:top w:val="nil"/>
              <w:left w:val="single" w:color="auto" w:sz="4" w:space="0"/>
              <w:bottom w:val="single" w:color="auto" w:sz="4" w:space="0"/>
              <w:right w:val="single" w:color="auto" w:sz="4" w:space="0"/>
            </w:tcBorders>
            <w:noWrap w:val="0"/>
            <w:vAlign w:val="center"/>
          </w:tcPr>
          <w:p w14:paraId="7BC94C53">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1360" w:type="dxa"/>
            <w:tcBorders>
              <w:top w:val="nil"/>
              <w:left w:val="nil"/>
              <w:bottom w:val="single" w:color="auto" w:sz="4" w:space="0"/>
              <w:right w:val="single" w:color="auto" w:sz="4" w:space="0"/>
            </w:tcBorders>
            <w:noWrap w:val="0"/>
            <w:vAlign w:val="center"/>
          </w:tcPr>
          <w:p w14:paraId="6B8F1BE5">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螺纹钢筋</w:t>
            </w:r>
          </w:p>
        </w:tc>
        <w:tc>
          <w:tcPr>
            <w:tcW w:w="720" w:type="dxa"/>
            <w:tcBorders>
              <w:top w:val="nil"/>
              <w:left w:val="nil"/>
              <w:bottom w:val="single" w:color="auto" w:sz="4" w:space="0"/>
              <w:right w:val="single" w:color="auto" w:sz="4" w:space="0"/>
            </w:tcBorders>
            <w:noWrap w:val="0"/>
            <w:vAlign w:val="center"/>
          </w:tcPr>
          <w:p w14:paraId="3B620854">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Ф12</w:t>
            </w:r>
          </w:p>
        </w:tc>
        <w:tc>
          <w:tcPr>
            <w:tcW w:w="720" w:type="dxa"/>
            <w:tcBorders>
              <w:top w:val="nil"/>
              <w:left w:val="nil"/>
              <w:bottom w:val="single" w:color="auto" w:sz="4" w:space="0"/>
              <w:right w:val="single" w:color="auto" w:sz="4" w:space="0"/>
            </w:tcBorders>
            <w:noWrap w:val="0"/>
            <w:vAlign w:val="center"/>
          </w:tcPr>
          <w:p w14:paraId="52F1B65C">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T</w:t>
            </w:r>
          </w:p>
        </w:tc>
        <w:tc>
          <w:tcPr>
            <w:tcW w:w="1140" w:type="dxa"/>
            <w:tcBorders>
              <w:top w:val="nil"/>
              <w:left w:val="nil"/>
              <w:bottom w:val="single" w:color="auto" w:sz="4" w:space="0"/>
              <w:right w:val="single" w:color="auto" w:sz="4" w:space="0"/>
            </w:tcBorders>
            <w:noWrap w:val="0"/>
            <w:vAlign w:val="top"/>
          </w:tcPr>
          <w:p w14:paraId="08A33B6F">
            <w:pPr>
              <w:spacing w:beforeLines="0" w:afterLines="0"/>
              <w:jc w:val="center"/>
              <w:rPr>
                <w:rFonts w:hint="eastAsia" w:ascii="宋体" w:hAnsi="宋体" w:eastAsia="宋体" w:cs="宋体"/>
                <w:color w:val="000000"/>
                <w:kern w:val="0"/>
                <w:sz w:val="24"/>
                <w:szCs w:val="24"/>
              </w:rPr>
            </w:pPr>
            <w:r>
              <w:rPr>
                <w:rFonts w:hint="eastAsia" w:ascii="宋体" w:hAnsi="宋体" w:eastAsia="宋体" w:cs="Times New Roman"/>
                <w:color w:val="000000"/>
                <w:sz w:val="24"/>
                <w:szCs w:val="24"/>
              </w:rPr>
              <w:t>244.12</w:t>
            </w:r>
          </w:p>
        </w:tc>
        <w:tc>
          <w:tcPr>
            <w:tcW w:w="1280" w:type="dxa"/>
            <w:tcBorders>
              <w:top w:val="nil"/>
              <w:left w:val="nil"/>
              <w:bottom w:val="single" w:color="auto" w:sz="4" w:space="0"/>
              <w:right w:val="single" w:color="auto" w:sz="4" w:space="0"/>
            </w:tcBorders>
            <w:noWrap w:val="0"/>
            <w:vAlign w:val="center"/>
          </w:tcPr>
          <w:p w14:paraId="59D274F7">
            <w:pPr>
              <w:widowControl/>
              <w:jc w:val="center"/>
              <w:rPr>
                <w:rFonts w:hint="eastAsia" w:ascii="宋体" w:hAnsi="宋体" w:eastAsia="宋体" w:cs="宋体"/>
                <w:color w:val="000000"/>
                <w:kern w:val="0"/>
                <w:sz w:val="24"/>
                <w:szCs w:val="24"/>
              </w:rPr>
            </w:pPr>
          </w:p>
        </w:tc>
        <w:tc>
          <w:tcPr>
            <w:tcW w:w="1880" w:type="dxa"/>
            <w:tcBorders>
              <w:top w:val="nil"/>
              <w:left w:val="nil"/>
              <w:bottom w:val="single" w:color="auto" w:sz="4" w:space="0"/>
              <w:right w:val="single" w:color="auto" w:sz="4" w:space="0"/>
            </w:tcBorders>
            <w:noWrap w:val="0"/>
            <w:vAlign w:val="top"/>
          </w:tcPr>
          <w:p w14:paraId="6CA03E4C">
            <w:pPr>
              <w:spacing w:beforeLines="0" w:afterLines="0"/>
              <w:jc w:val="center"/>
              <w:rPr>
                <w:rFonts w:hint="eastAsia" w:ascii="宋体" w:hAnsi="宋体" w:eastAsia="宋体" w:cs="宋体"/>
                <w:color w:val="000000"/>
                <w:kern w:val="0"/>
                <w:sz w:val="24"/>
                <w:szCs w:val="24"/>
              </w:rPr>
            </w:pPr>
          </w:p>
        </w:tc>
        <w:tc>
          <w:tcPr>
            <w:tcW w:w="880" w:type="dxa"/>
            <w:tcBorders>
              <w:top w:val="nil"/>
              <w:left w:val="nil"/>
              <w:bottom w:val="single" w:color="auto" w:sz="4" w:space="0"/>
              <w:right w:val="single" w:color="auto" w:sz="4" w:space="0"/>
            </w:tcBorders>
            <w:noWrap w:val="0"/>
            <w:vAlign w:val="center"/>
          </w:tcPr>
          <w:p w14:paraId="2C483897">
            <w:pPr>
              <w:widowControl/>
              <w:jc w:val="center"/>
              <w:rPr>
                <w:rFonts w:hint="eastAsia" w:ascii="仿宋" w:hAnsi="仿宋" w:eastAsia="仿宋" w:cs="宋体"/>
                <w:color w:val="000000"/>
                <w:kern w:val="0"/>
                <w:sz w:val="24"/>
                <w:szCs w:val="24"/>
              </w:rPr>
            </w:pPr>
          </w:p>
        </w:tc>
      </w:tr>
      <w:tr w14:paraId="651B8AC6">
        <w:tblPrEx>
          <w:tblCellMar>
            <w:top w:w="0" w:type="dxa"/>
            <w:left w:w="108" w:type="dxa"/>
            <w:bottom w:w="0" w:type="dxa"/>
            <w:right w:w="108" w:type="dxa"/>
          </w:tblCellMar>
        </w:tblPrEx>
        <w:trPr>
          <w:trHeight w:val="375" w:hRule="atLeast"/>
        </w:trPr>
        <w:tc>
          <w:tcPr>
            <w:tcW w:w="720" w:type="dxa"/>
            <w:tcBorders>
              <w:top w:val="nil"/>
              <w:left w:val="single" w:color="auto" w:sz="4" w:space="0"/>
              <w:bottom w:val="single" w:color="auto" w:sz="4" w:space="0"/>
              <w:right w:val="single" w:color="auto" w:sz="4" w:space="0"/>
            </w:tcBorders>
            <w:noWrap w:val="0"/>
            <w:vAlign w:val="center"/>
          </w:tcPr>
          <w:p w14:paraId="37451770">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1360" w:type="dxa"/>
            <w:tcBorders>
              <w:top w:val="nil"/>
              <w:left w:val="nil"/>
              <w:bottom w:val="single" w:color="auto" w:sz="4" w:space="0"/>
              <w:right w:val="single" w:color="auto" w:sz="4" w:space="0"/>
            </w:tcBorders>
            <w:noWrap w:val="0"/>
            <w:vAlign w:val="center"/>
          </w:tcPr>
          <w:p w14:paraId="28BA3B19">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螺纹钢筋</w:t>
            </w:r>
          </w:p>
        </w:tc>
        <w:tc>
          <w:tcPr>
            <w:tcW w:w="720" w:type="dxa"/>
            <w:tcBorders>
              <w:top w:val="nil"/>
              <w:left w:val="nil"/>
              <w:bottom w:val="single" w:color="auto" w:sz="4" w:space="0"/>
              <w:right w:val="single" w:color="auto" w:sz="4" w:space="0"/>
            </w:tcBorders>
            <w:noWrap w:val="0"/>
            <w:vAlign w:val="center"/>
          </w:tcPr>
          <w:p w14:paraId="64B01EA9">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Ф14</w:t>
            </w:r>
          </w:p>
        </w:tc>
        <w:tc>
          <w:tcPr>
            <w:tcW w:w="720" w:type="dxa"/>
            <w:tcBorders>
              <w:top w:val="nil"/>
              <w:left w:val="nil"/>
              <w:bottom w:val="single" w:color="auto" w:sz="4" w:space="0"/>
              <w:right w:val="single" w:color="auto" w:sz="4" w:space="0"/>
            </w:tcBorders>
            <w:noWrap w:val="0"/>
            <w:vAlign w:val="center"/>
          </w:tcPr>
          <w:p w14:paraId="2084D8FF">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T</w:t>
            </w:r>
          </w:p>
        </w:tc>
        <w:tc>
          <w:tcPr>
            <w:tcW w:w="1140" w:type="dxa"/>
            <w:tcBorders>
              <w:top w:val="nil"/>
              <w:left w:val="nil"/>
              <w:bottom w:val="single" w:color="auto" w:sz="4" w:space="0"/>
              <w:right w:val="single" w:color="auto" w:sz="4" w:space="0"/>
            </w:tcBorders>
            <w:noWrap w:val="0"/>
            <w:vAlign w:val="top"/>
          </w:tcPr>
          <w:p w14:paraId="1E5E4C2B">
            <w:pPr>
              <w:spacing w:beforeLines="0" w:afterLines="0"/>
              <w:jc w:val="center"/>
              <w:rPr>
                <w:rFonts w:hint="eastAsia" w:ascii="宋体" w:hAnsi="宋体" w:eastAsia="宋体" w:cs="宋体"/>
                <w:color w:val="000000"/>
                <w:kern w:val="0"/>
                <w:sz w:val="24"/>
                <w:szCs w:val="24"/>
              </w:rPr>
            </w:pPr>
            <w:r>
              <w:rPr>
                <w:rFonts w:hint="eastAsia" w:ascii="宋体" w:hAnsi="宋体" w:eastAsia="宋体" w:cs="Times New Roman"/>
                <w:color w:val="000000"/>
                <w:sz w:val="24"/>
                <w:szCs w:val="24"/>
              </w:rPr>
              <w:t>137.85</w:t>
            </w:r>
          </w:p>
        </w:tc>
        <w:tc>
          <w:tcPr>
            <w:tcW w:w="1280" w:type="dxa"/>
            <w:tcBorders>
              <w:top w:val="nil"/>
              <w:left w:val="nil"/>
              <w:bottom w:val="single" w:color="auto" w:sz="4" w:space="0"/>
              <w:right w:val="single" w:color="auto" w:sz="4" w:space="0"/>
            </w:tcBorders>
            <w:noWrap w:val="0"/>
            <w:vAlign w:val="center"/>
          </w:tcPr>
          <w:p w14:paraId="5CC20746">
            <w:pPr>
              <w:widowControl/>
              <w:jc w:val="center"/>
              <w:rPr>
                <w:rFonts w:hint="eastAsia" w:ascii="宋体" w:hAnsi="宋体" w:eastAsia="宋体" w:cs="宋体"/>
                <w:color w:val="000000"/>
                <w:kern w:val="0"/>
                <w:sz w:val="24"/>
                <w:szCs w:val="24"/>
              </w:rPr>
            </w:pPr>
          </w:p>
        </w:tc>
        <w:tc>
          <w:tcPr>
            <w:tcW w:w="1880" w:type="dxa"/>
            <w:tcBorders>
              <w:top w:val="nil"/>
              <w:left w:val="nil"/>
              <w:bottom w:val="single" w:color="auto" w:sz="4" w:space="0"/>
              <w:right w:val="single" w:color="auto" w:sz="4" w:space="0"/>
            </w:tcBorders>
            <w:noWrap w:val="0"/>
            <w:vAlign w:val="top"/>
          </w:tcPr>
          <w:p w14:paraId="443CEFBD">
            <w:pPr>
              <w:spacing w:beforeLines="0" w:afterLines="0"/>
              <w:jc w:val="center"/>
              <w:rPr>
                <w:rFonts w:hint="eastAsia" w:ascii="宋体" w:hAnsi="宋体" w:eastAsia="宋体" w:cs="宋体"/>
                <w:color w:val="000000"/>
                <w:kern w:val="0"/>
                <w:sz w:val="24"/>
                <w:szCs w:val="24"/>
              </w:rPr>
            </w:pPr>
          </w:p>
        </w:tc>
        <w:tc>
          <w:tcPr>
            <w:tcW w:w="880" w:type="dxa"/>
            <w:tcBorders>
              <w:top w:val="nil"/>
              <w:left w:val="nil"/>
              <w:bottom w:val="single" w:color="auto" w:sz="4" w:space="0"/>
              <w:right w:val="single" w:color="auto" w:sz="4" w:space="0"/>
            </w:tcBorders>
            <w:noWrap w:val="0"/>
            <w:vAlign w:val="center"/>
          </w:tcPr>
          <w:p w14:paraId="63034FD9">
            <w:pPr>
              <w:widowControl/>
              <w:jc w:val="center"/>
              <w:rPr>
                <w:rFonts w:hint="eastAsia" w:ascii="仿宋" w:hAnsi="仿宋" w:eastAsia="仿宋" w:cs="宋体"/>
                <w:color w:val="000000"/>
                <w:kern w:val="0"/>
                <w:sz w:val="24"/>
                <w:szCs w:val="24"/>
              </w:rPr>
            </w:pPr>
          </w:p>
        </w:tc>
      </w:tr>
      <w:tr w14:paraId="0E4059DC">
        <w:tblPrEx>
          <w:tblCellMar>
            <w:top w:w="0" w:type="dxa"/>
            <w:left w:w="108" w:type="dxa"/>
            <w:bottom w:w="0" w:type="dxa"/>
            <w:right w:w="108" w:type="dxa"/>
          </w:tblCellMar>
        </w:tblPrEx>
        <w:trPr>
          <w:trHeight w:val="375" w:hRule="atLeast"/>
        </w:trPr>
        <w:tc>
          <w:tcPr>
            <w:tcW w:w="720" w:type="dxa"/>
            <w:tcBorders>
              <w:top w:val="nil"/>
              <w:left w:val="single" w:color="auto" w:sz="4" w:space="0"/>
              <w:bottom w:val="single" w:color="auto" w:sz="4" w:space="0"/>
              <w:right w:val="single" w:color="auto" w:sz="4" w:space="0"/>
            </w:tcBorders>
            <w:noWrap w:val="0"/>
            <w:vAlign w:val="center"/>
          </w:tcPr>
          <w:p w14:paraId="04079C9F">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1360" w:type="dxa"/>
            <w:tcBorders>
              <w:top w:val="nil"/>
              <w:left w:val="nil"/>
              <w:bottom w:val="single" w:color="auto" w:sz="4" w:space="0"/>
              <w:right w:val="single" w:color="auto" w:sz="4" w:space="0"/>
            </w:tcBorders>
            <w:noWrap w:val="0"/>
            <w:vAlign w:val="center"/>
          </w:tcPr>
          <w:p w14:paraId="62FAF869">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螺纹钢筋</w:t>
            </w:r>
          </w:p>
        </w:tc>
        <w:tc>
          <w:tcPr>
            <w:tcW w:w="720" w:type="dxa"/>
            <w:tcBorders>
              <w:top w:val="nil"/>
              <w:left w:val="nil"/>
              <w:bottom w:val="single" w:color="auto" w:sz="4" w:space="0"/>
              <w:right w:val="single" w:color="auto" w:sz="4" w:space="0"/>
            </w:tcBorders>
            <w:noWrap w:val="0"/>
            <w:vAlign w:val="center"/>
          </w:tcPr>
          <w:p w14:paraId="29F60367">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Ф16</w:t>
            </w:r>
          </w:p>
        </w:tc>
        <w:tc>
          <w:tcPr>
            <w:tcW w:w="720" w:type="dxa"/>
            <w:tcBorders>
              <w:top w:val="nil"/>
              <w:left w:val="nil"/>
              <w:bottom w:val="single" w:color="auto" w:sz="4" w:space="0"/>
              <w:right w:val="single" w:color="auto" w:sz="4" w:space="0"/>
            </w:tcBorders>
            <w:noWrap w:val="0"/>
            <w:vAlign w:val="center"/>
          </w:tcPr>
          <w:p w14:paraId="5C622820">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T</w:t>
            </w:r>
          </w:p>
        </w:tc>
        <w:tc>
          <w:tcPr>
            <w:tcW w:w="1140" w:type="dxa"/>
            <w:tcBorders>
              <w:top w:val="nil"/>
              <w:left w:val="nil"/>
              <w:bottom w:val="single" w:color="auto" w:sz="4" w:space="0"/>
              <w:right w:val="single" w:color="auto" w:sz="4" w:space="0"/>
            </w:tcBorders>
            <w:noWrap w:val="0"/>
            <w:vAlign w:val="top"/>
          </w:tcPr>
          <w:p w14:paraId="47EDED2C">
            <w:pPr>
              <w:spacing w:beforeLines="0" w:afterLines="0"/>
              <w:jc w:val="center"/>
              <w:rPr>
                <w:rFonts w:hint="eastAsia" w:ascii="宋体" w:hAnsi="宋体" w:eastAsia="宋体" w:cs="宋体"/>
                <w:color w:val="000000"/>
                <w:kern w:val="0"/>
                <w:sz w:val="24"/>
                <w:szCs w:val="24"/>
              </w:rPr>
            </w:pPr>
            <w:r>
              <w:rPr>
                <w:rFonts w:hint="eastAsia" w:ascii="宋体" w:hAnsi="宋体" w:eastAsia="宋体" w:cs="Times New Roman"/>
                <w:color w:val="000000"/>
                <w:sz w:val="24"/>
                <w:szCs w:val="24"/>
              </w:rPr>
              <w:t>260.45</w:t>
            </w:r>
          </w:p>
        </w:tc>
        <w:tc>
          <w:tcPr>
            <w:tcW w:w="1280" w:type="dxa"/>
            <w:tcBorders>
              <w:top w:val="nil"/>
              <w:left w:val="nil"/>
              <w:bottom w:val="single" w:color="auto" w:sz="4" w:space="0"/>
              <w:right w:val="single" w:color="auto" w:sz="4" w:space="0"/>
            </w:tcBorders>
            <w:noWrap w:val="0"/>
            <w:vAlign w:val="center"/>
          </w:tcPr>
          <w:p w14:paraId="21C936A4">
            <w:pPr>
              <w:widowControl/>
              <w:jc w:val="center"/>
              <w:rPr>
                <w:rFonts w:hint="eastAsia" w:ascii="宋体" w:hAnsi="宋体" w:eastAsia="宋体" w:cs="宋体"/>
                <w:color w:val="000000"/>
                <w:kern w:val="0"/>
                <w:sz w:val="24"/>
                <w:szCs w:val="24"/>
              </w:rPr>
            </w:pPr>
          </w:p>
        </w:tc>
        <w:tc>
          <w:tcPr>
            <w:tcW w:w="1880" w:type="dxa"/>
            <w:tcBorders>
              <w:top w:val="nil"/>
              <w:left w:val="nil"/>
              <w:bottom w:val="single" w:color="auto" w:sz="4" w:space="0"/>
              <w:right w:val="single" w:color="auto" w:sz="4" w:space="0"/>
            </w:tcBorders>
            <w:noWrap w:val="0"/>
            <w:vAlign w:val="top"/>
          </w:tcPr>
          <w:p w14:paraId="48C35E97">
            <w:pPr>
              <w:spacing w:beforeLines="0" w:afterLines="0"/>
              <w:jc w:val="center"/>
              <w:rPr>
                <w:rFonts w:hint="eastAsia" w:ascii="宋体" w:hAnsi="宋体" w:eastAsia="宋体" w:cs="宋体"/>
                <w:color w:val="000000"/>
                <w:kern w:val="0"/>
                <w:sz w:val="24"/>
                <w:szCs w:val="24"/>
              </w:rPr>
            </w:pPr>
          </w:p>
        </w:tc>
        <w:tc>
          <w:tcPr>
            <w:tcW w:w="880" w:type="dxa"/>
            <w:tcBorders>
              <w:top w:val="nil"/>
              <w:left w:val="nil"/>
              <w:bottom w:val="single" w:color="auto" w:sz="4" w:space="0"/>
              <w:right w:val="single" w:color="auto" w:sz="4" w:space="0"/>
            </w:tcBorders>
            <w:noWrap w:val="0"/>
            <w:vAlign w:val="center"/>
          </w:tcPr>
          <w:p w14:paraId="4A13EBBA">
            <w:pPr>
              <w:widowControl/>
              <w:jc w:val="center"/>
              <w:rPr>
                <w:rFonts w:hint="eastAsia" w:ascii="仿宋" w:hAnsi="仿宋" w:eastAsia="仿宋" w:cs="宋体"/>
                <w:color w:val="000000"/>
                <w:kern w:val="0"/>
                <w:sz w:val="24"/>
                <w:szCs w:val="24"/>
              </w:rPr>
            </w:pPr>
          </w:p>
        </w:tc>
      </w:tr>
      <w:tr w14:paraId="6593A85B">
        <w:tblPrEx>
          <w:tblCellMar>
            <w:top w:w="0" w:type="dxa"/>
            <w:left w:w="108" w:type="dxa"/>
            <w:bottom w:w="0" w:type="dxa"/>
            <w:right w:w="108" w:type="dxa"/>
          </w:tblCellMar>
        </w:tblPrEx>
        <w:trPr>
          <w:trHeight w:val="375" w:hRule="atLeast"/>
        </w:trPr>
        <w:tc>
          <w:tcPr>
            <w:tcW w:w="720" w:type="dxa"/>
            <w:tcBorders>
              <w:top w:val="nil"/>
              <w:left w:val="single" w:color="auto" w:sz="4" w:space="0"/>
              <w:bottom w:val="single" w:color="auto" w:sz="4" w:space="0"/>
              <w:right w:val="single" w:color="auto" w:sz="4" w:space="0"/>
            </w:tcBorders>
            <w:noWrap w:val="0"/>
            <w:vAlign w:val="center"/>
          </w:tcPr>
          <w:p w14:paraId="6E8228B7">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w:t>
            </w:r>
          </w:p>
        </w:tc>
        <w:tc>
          <w:tcPr>
            <w:tcW w:w="1360" w:type="dxa"/>
            <w:tcBorders>
              <w:top w:val="nil"/>
              <w:left w:val="nil"/>
              <w:bottom w:val="single" w:color="auto" w:sz="4" w:space="0"/>
              <w:right w:val="single" w:color="auto" w:sz="4" w:space="0"/>
            </w:tcBorders>
            <w:noWrap w:val="0"/>
            <w:vAlign w:val="center"/>
          </w:tcPr>
          <w:p w14:paraId="63438792">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螺纹钢筋</w:t>
            </w:r>
          </w:p>
        </w:tc>
        <w:tc>
          <w:tcPr>
            <w:tcW w:w="720" w:type="dxa"/>
            <w:tcBorders>
              <w:top w:val="nil"/>
              <w:left w:val="nil"/>
              <w:bottom w:val="single" w:color="auto" w:sz="4" w:space="0"/>
              <w:right w:val="single" w:color="auto" w:sz="4" w:space="0"/>
            </w:tcBorders>
            <w:noWrap w:val="0"/>
            <w:vAlign w:val="center"/>
          </w:tcPr>
          <w:p w14:paraId="4B9F090C">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Ф18</w:t>
            </w:r>
          </w:p>
        </w:tc>
        <w:tc>
          <w:tcPr>
            <w:tcW w:w="720" w:type="dxa"/>
            <w:tcBorders>
              <w:top w:val="nil"/>
              <w:left w:val="nil"/>
              <w:bottom w:val="single" w:color="auto" w:sz="4" w:space="0"/>
              <w:right w:val="single" w:color="auto" w:sz="4" w:space="0"/>
            </w:tcBorders>
            <w:noWrap w:val="0"/>
            <w:vAlign w:val="center"/>
          </w:tcPr>
          <w:p w14:paraId="03B17BF7">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T</w:t>
            </w:r>
          </w:p>
        </w:tc>
        <w:tc>
          <w:tcPr>
            <w:tcW w:w="1140" w:type="dxa"/>
            <w:tcBorders>
              <w:top w:val="nil"/>
              <w:left w:val="nil"/>
              <w:bottom w:val="single" w:color="auto" w:sz="4" w:space="0"/>
              <w:right w:val="single" w:color="auto" w:sz="4" w:space="0"/>
            </w:tcBorders>
            <w:noWrap w:val="0"/>
            <w:vAlign w:val="top"/>
          </w:tcPr>
          <w:p w14:paraId="42CD326B">
            <w:pPr>
              <w:spacing w:beforeLines="0" w:afterLines="0"/>
              <w:jc w:val="center"/>
              <w:rPr>
                <w:rFonts w:hint="eastAsia" w:ascii="宋体" w:hAnsi="宋体" w:eastAsia="宋体" w:cs="宋体"/>
                <w:color w:val="000000"/>
                <w:kern w:val="0"/>
                <w:sz w:val="24"/>
                <w:szCs w:val="24"/>
              </w:rPr>
            </w:pPr>
            <w:r>
              <w:rPr>
                <w:rFonts w:hint="eastAsia" w:ascii="宋体" w:hAnsi="宋体" w:eastAsia="宋体" w:cs="Times New Roman"/>
                <w:color w:val="000000"/>
                <w:sz w:val="24"/>
                <w:szCs w:val="24"/>
              </w:rPr>
              <w:t>64.71</w:t>
            </w:r>
          </w:p>
        </w:tc>
        <w:tc>
          <w:tcPr>
            <w:tcW w:w="1280" w:type="dxa"/>
            <w:tcBorders>
              <w:top w:val="nil"/>
              <w:left w:val="nil"/>
              <w:bottom w:val="single" w:color="auto" w:sz="4" w:space="0"/>
              <w:right w:val="single" w:color="auto" w:sz="4" w:space="0"/>
            </w:tcBorders>
            <w:noWrap w:val="0"/>
            <w:vAlign w:val="center"/>
          </w:tcPr>
          <w:p w14:paraId="551CEDB7">
            <w:pPr>
              <w:widowControl/>
              <w:jc w:val="center"/>
              <w:rPr>
                <w:rFonts w:hint="eastAsia" w:ascii="宋体" w:hAnsi="宋体" w:eastAsia="宋体" w:cs="宋体"/>
                <w:color w:val="000000"/>
                <w:kern w:val="0"/>
                <w:sz w:val="24"/>
                <w:szCs w:val="24"/>
              </w:rPr>
            </w:pPr>
          </w:p>
        </w:tc>
        <w:tc>
          <w:tcPr>
            <w:tcW w:w="1880" w:type="dxa"/>
            <w:tcBorders>
              <w:top w:val="nil"/>
              <w:left w:val="nil"/>
              <w:bottom w:val="single" w:color="auto" w:sz="4" w:space="0"/>
              <w:right w:val="single" w:color="auto" w:sz="4" w:space="0"/>
            </w:tcBorders>
            <w:noWrap w:val="0"/>
            <w:vAlign w:val="top"/>
          </w:tcPr>
          <w:p w14:paraId="73A5F85C">
            <w:pPr>
              <w:spacing w:beforeLines="0" w:afterLines="0"/>
              <w:jc w:val="center"/>
              <w:rPr>
                <w:rFonts w:hint="eastAsia" w:ascii="宋体" w:hAnsi="宋体" w:eastAsia="宋体" w:cs="宋体"/>
                <w:color w:val="000000"/>
                <w:kern w:val="0"/>
                <w:sz w:val="24"/>
                <w:szCs w:val="24"/>
              </w:rPr>
            </w:pPr>
          </w:p>
        </w:tc>
        <w:tc>
          <w:tcPr>
            <w:tcW w:w="880" w:type="dxa"/>
            <w:tcBorders>
              <w:top w:val="nil"/>
              <w:left w:val="nil"/>
              <w:bottom w:val="single" w:color="auto" w:sz="4" w:space="0"/>
              <w:right w:val="single" w:color="auto" w:sz="4" w:space="0"/>
            </w:tcBorders>
            <w:noWrap w:val="0"/>
            <w:vAlign w:val="center"/>
          </w:tcPr>
          <w:p w14:paraId="35C21C1F">
            <w:pPr>
              <w:widowControl/>
              <w:jc w:val="center"/>
              <w:rPr>
                <w:rFonts w:hint="eastAsia" w:ascii="仿宋" w:hAnsi="仿宋" w:eastAsia="仿宋" w:cs="宋体"/>
                <w:color w:val="000000"/>
                <w:kern w:val="0"/>
                <w:sz w:val="24"/>
                <w:szCs w:val="24"/>
              </w:rPr>
            </w:pPr>
          </w:p>
        </w:tc>
      </w:tr>
      <w:tr w14:paraId="0DE16036">
        <w:tblPrEx>
          <w:tblCellMar>
            <w:top w:w="0" w:type="dxa"/>
            <w:left w:w="108" w:type="dxa"/>
            <w:bottom w:w="0" w:type="dxa"/>
            <w:right w:w="108" w:type="dxa"/>
          </w:tblCellMar>
        </w:tblPrEx>
        <w:trPr>
          <w:trHeight w:val="375" w:hRule="atLeast"/>
        </w:trPr>
        <w:tc>
          <w:tcPr>
            <w:tcW w:w="720" w:type="dxa"/>
            <w:tcBorders>
              <w:top w:val="nil"/>
              <w:left w:val="single" w:color="auto" w:sz="4" w:space="0"/>
              <w:bottom w:val="single" w:color="auto" w:sz="4" w:space="0"/>
              <w:right w:val="single" w:color="auto" w:sz="4" w:space="0"/>
            </w:tcBorders>
            <w:noWrap w:val="0"/>
            <w:vAlign w:val="center"/>
          </w:tcPr>
          <w:p w14:paraId="7D9246EC">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p>
        </w:tc>
        <w:tc>
          <w:tcPr>
            <w:tcW w:w="1360" w:type="dxa"/>
            <w:tcBorders>
              <w:top w:val="nil"/>
              <w:left w:val="nil"/>
              <w:bottom w:val="single" w:color="auto" w:sz="4" w:space="0"/>
              <w:right w:val="single" w:color="auto" w:sz="4" w:space="0"/>
            </w:tcBorders>
            <w:noWrap w:val="0"/>
            <w:vAlign w:val="center"/>
          </w:tcPr>
          <w:p w14:paraId="483564A1">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螺纹钢筋</w:t>
            </w:r>
          </w:p>
        </w:tc>
        <w:tc>
          <w:tcPr>
            <w:tcW w:w="720" w:type="dxa"/>
            <w:tcBorders>
              <w:top w:val="nil"/>
              <w:left w:val="nil"/>
              <w:bottom w:val="single" w:color="auto" w:sz="4" w:space="0"/>
              <w:right w:val="single" w:color="auto" w:sz="4" w:space="0"/>
            </w:tcBorders>
            <w:noWrap w:val="0"/>
            <w:vAlign w:val="center"/>
          </w:tcPr>
          <w:p w14:paraId="3D151AD9">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Ф20</w:t>
            </w:r>
          </w:p>
        </w:tc>
        <w:tc>
          <w:tcPr>
            <w:tcW w:w="720" w:type="dxa"/>
            <w:tcBorders>
              <w:top w:val="nil"/>
              <w:left w:val="nil"/>
              <w:bottom w:val="single" w:color="auto" w:sz="4" w:space="0"/>
              <w:right w:val="single" w:color="auto" w:sz="4" w:space="0"/>
            </w:tcBorders>
            <w:noWrap w:val="0"/>
            <w:vAlign w:val="center"/>
          </w:tcPr>
          <w:p w14:paraId="192D32AA">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T</w:t>
            </w:r>
          </w:p>
        </w:tc>
        <w:tc>
          <w:tcPr>
            <w:tcW w:w="1140" w:type="dxa"/>
            <w:tcBorders>
              <w:top w:val="nil"/>
              <w:left w:val="nil"/>
              <w:bottom w:val="single" w:color="auto" w:sz="4" w:space="0"/>
              <w:right w:val="single" w:color="auto" w:sz="4" w:space="0"/>
            </w:tcBorders>
            <w:noWrap w:val="0"/>
            <w:vAlign w:val="top"/>
          </w:tcPr>
          <w:p w14:paraId="6891E94C">
            <w:pPr>
              <w:spacing w:beforeLines="0" w:afterLines="0"/>
              <w:jc w:val="center"/>
              <w:rPr>
                <w:rFonts w:hint="eastAsia" w:ascii="宋体" w:hAnsi="宋体" w:eastAsia="宋体" w:cs="宋体"/>
                <w:color w:val="000000"/>
                <w:kern w:val="0"/>
                <w:sz w:val="24"/>
                <w:szCs w:val="24"/>
              </w:rPr>
            </w:pPr>
            <w:r>
              <w:rPr>
                <w:rFonts w:hint="eastAsia" w:ascii="宋体" w:hAnsi="宋体" w:eastAsia="宋体" w:cs="Times New Roman"/>
                <w:color w:val="000000"/>
                <w:sz w:val="24"/>
                <w:szCs w:val="24"/>
              </w:rPr>
              <w:t>87.26</w:t>
            </w:r>
          </w:p>
        </w:tc>
        <w:tc>
          <w:tcPr>
            <w:tcW w:w="1280" w:type="dxa"/>
            <w:tcBorders>
              <w:top w:val="nil"/>
              <w:left w:val="nil"/>
              <w:bottom w:val="single" w:color="auto" w:sz="4" w:space="0"/>
              <w:right w:val="single" w:color="auto" w:sz="4" w:space="0"/>
            </w:tcBorders>
            <w:noWrap w:val="0"/>
            <w:vAlign w:val="center"/>
          </w:tcPr>
          <w:p w14:paraId="55CC54F0">
            <w:pPr>
              <w:widowControl/>
              <w:jc w:val="center"/>
              <w:rPr>
                <w:rFonts w:hint="eastAsia" w:ascii="宋体" w:hAnsi="宋体" w:eastAsia="宋体" w:cs="宋体"/>
                <w:color w:val="000000"/>
                <w:kern w:val="0"/>
                <w:sz w:val="24"/>
                <w:szCs w:val="24"/>
              </w:rPr>
            </w:pPr>
          </w:p>
        </w:tc>
        <w:tc>
          <w:tcPr>
            <w:tcW w:w="1880" w:type="dxa"/>
            <w:tcBorders>
              <w:top w:val="nil"/>
              <w:left w:val="nil"/>
              <w:bottom w:val="single" w:color="auto" w:sz="4" w:space="0"/>
              <w:right w:val="single" w:color="auto" w:sz="4" w:space="0"/>
            </w:tcBorders>
            <w:noWrap w:val="0"/>
            <w:vAlign w:val="top"/>
          </w:tcPr>
          <w:p w14:paraId="19AB14F9">
            <w:pPr>
              <w:spacing w:beforeLines="0" w:afterLines="0"/>
              <w:jc w:val="center"/>
              <w:rPr>
                <w:rFonts w:hint="eastAsia" w:ascii="宋体" w:hAnsi="宋体" w:eastAsia="宋体" w:cs="宋体"/>
                <w:color w:val="000000"/>
                <w:kern w:val="0"/>
                <w:sz w:val="24"/>
                <w:szCs w:val="24"/>
              </w:rPr>
            </w:pPr>
          </w:p>
        </w:tc>
        <w:tc>
          <w:tcPr>
            <w:tcW w:w="880" w:type="dxa"/>
            <w:tcBorders>
              <w:top w:val="nil"/>
              <w:left w:val="nil"/>
              <w:bottom w:val="single" w:color="auto" w:sz="4" w:space="0"/>
              <w:right w:val="single" w:color="auto" w:sz="4" w:space="0"/>
            </w:tcBorders>
            <w:noWrap w:val="0"/>
            <w:vAlign w:val="center"/>
          </w:tcPr>
          <w:p w14:paraId="07D222B9">
            <w:pPr>
              <w:widowControl/>
              <w:jc w:val="center"/>
              <w:rPr>
                <w:rFonts w:hint="eastAsia" w:ascii="仿宋" w:hAnsi="仿宋" w:eastAsia="仿宋" w:cs="宋体"/>
                <w:color w:val="000000"/>
                <w:kern w:val="0"/>
                <w:sz w:val="24"/>
                <w:szCs w:val="24"/>
              </w:rPr>
            </w:pPr>
          </w:p>
        </w:tc>
      </w:tr>
      <w:tr w14:paraId="51CF0B94">
        <w:tblPrEx>
          <w:tblCellMar>
            <w:top w:w="0" w:type="dxa"/>
            <w:left w:w="108" w:type="dxa"/>
            <w:bottom w:w="0" w:type="dxa"/>
            <w:right w:w="108" w:type="dxa"/>
          </w:tblCellMar>
        </w:tblPrEx>
        <w:trPr>
          <w:trHeight w:val="375" w:hRule="atLeast"/>
        </w:trPr>
        <w:tc>
          <w:tcPr>
            <w:tcW w:w="720" w:type="dxa"/>
            <w:tcBorders>
              <w:top w:val="nil"/>
              <w:left w:val="single" w:color="auto" w:sz="4" w:space="0"/>
              <w:bottom w:val="single" w:color="auto" w:sz="4" w:space="0"/>
              <w:right w:val="single" w:color="auto" w:sz="4" w:space="0"/>
            </w:tcBorders>
            <w:noWrap w:val="0"/>
            <w:vAlign w:val="center"/>
          </w:tcPr>
          <w:p w14:paraId="2E876D76">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w:t>
            </w:r>
          </w:p>
        </w:tc>
        <w:tc>
          <w:tcPr>
            <w:tcW w:w="1360" w:type="dxa"/>
            <w:tcBorders>
              <w:top w:val="nil"/>
              <w:left w:val="nil"/>
              <w:bottom w:val="single" w:color="auto" w:sz="4" w:space="0"/>
              <w:right w:val="single" w:color="auto" w:sz="4" w:space="0"/>
            </w:tcBorders>
            <w:noWrap w:val="0"/>
            <w:vAlign w:val="center"/>
          </w:tcPr>
          <w:p w14:paraId="21E5BAB3">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螺纹钢筋</w:t>
            </w:r>
          </w:p>
        </w:tc>
        <w:tc>
          <w:tcPr>
            <w:tcW w:w="720" w:type="dxa"/>
            <w:tcBorders>
              <w:top w:val="nil"/>
              <w:left w:val="nil"/>
              <w:bottom w:val="single" w:color="auto" w:sz="4" w:space="0"/>
              <w:right w:val="single" w:color="auto" w:sz="4" w:space="0"/>
            </w:tcBorders>
            <w:noWrap w:val="0"/>
            <w:vAlign w:val="center"/>
          </w:tcPr>
          <w:p w14:paraId="175FFE1C">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Ф22</w:t>
            </w:r>
          </w:p>
        </w:tc>
        <w:tc>
          <w:tcPr>
            <w:tcW w:w="720" w:type="dxa"/>
            <w:tcBorders>
              <w:top w:val="nil"/>
              <w:left w:val="nil"/>
              <w:bottom w:val="single" w:color="auto" w:sz="4" w:space="0"/>
              <w:right w:val="single" w:color="auto" w:sz="4" w:space="0"/>
            </w:tcBorders>
            <w:noWrap w:val="0"/>
            <w:vAlign w:val="center"/>
          </w:tcPr>
          <w:p w14:paraId="199D54DF">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T</w:t>
            </w:r>
          </w:p>
        </w:tc>
        <w:tc>
          <w:tcPr>
            <w:tcW w:w="1140" w:type="dxa"/>
            <w:tcBorders>
              <w:top w:val="nil"/>
              <w:left w:val="nil"/>
              <w:bottom w:val="single" w:color="auto" w:sz="4" w:space="0"/>
              <w:right w:val="single" w:color="auto" w:sz="4" w:space="0"/>
            </w:tcBorders>
            <w:noWrap w:val="0"/>
            <w:vAlign w:val="top"/>
          </w:tcPr>
          <w:p w14:paraId="727280A7">
            <w:pPr>
              <w:spacing w:beforeLines="0" w:afterLines="0"/>
              <w:jc w:val="center"/>
              <w:rPr>
                <w:rFonts w:hint="eastAsia" w:ascii="宋体" w:hAnsi="宋体" w:eastAsia="宋体" w:cs="宋体"/>
                <w:color w:val="000000"/>
                <w:kern w:val="0"/>
                <w:sz w:val="24"/>
                <w:szCs w:val="24"/>
              </w:rPr>
            </w:pPr>
            <w:r>
              <w:rPr>
                <w:rFonts w:hint="eastAsia" w:ascii="宋体" w:hAnsi="宋体" w:eastAsia="宋体" w:cs="Times New Roman"/>
                <w:color w:val="000000"/>
                <w:sz w:val="24"/>
                <w:szCs w:val="24"/>
              </w:rPr>
              <w:t>8.41</w:t>
            </w:r>
          </w:p>
        </w:tc>
        <w:tc>
          <w:tcPr>
            <w:tcW w:w="1280" w:type="dxa"/>
            <w:tcBorders>
              <w:top w:val="nil"/>
              <w:left w:val="nil"/>
              <w:bottom w:val="single" w:color="auto" w:sz="4" w:space="0"/>
              <w:right w:val="single" w:color="auto" w:sz="4" w:space="0"/>
            </w:tcBorders>
            <w:noWrap w:val="0"/>
            <w:vAlign w:val="center"/>
          </w:tcPr>
          <w:p w14:paraId="725CA49C">
            <w:pPr>
              <w:widowControl/>
              <w:jc w:val="center"/>
              <w:rPr>
                <w:rFonts w:hint="eastAsia" w:ascii="宋体" w:hAnsi="宋体" w:eastAsia="宋体" w:cs="宋体"/>
                <w:color w:val="000000"/>
                <w:kern w:val="0"/>
                <w:sz w:val="24"/>
                <w:szCs w:val="24"/>
              </w:rPr>
            </w:pPr>
          </w:p>
        </w:tc>
        <w:tc>
          <w:tcPr>
            <w:tcW w:w="1880" w:type="dxa"/>
            <w:tcBorders>
              <w:top w:val="nil"/>
              <w:left w:val="nil"/>
              <w:bottom w:val="single" w:color="auto" w:sz="4" w:space="0"/>
              <w:right w:val="single" w:color="auto" w:sz="4" w:space="0"/>
            </w:tcBorders>
            <w:noWrap w:val="0"/>
            <w:vAlign w:val="top"/>
          </w:tcPr>
          <w:p w14:paraId="51139FC9">
            <w:pPr>
              <w:spacing w:beforeLines="0" w:afterLines="0"/>
              <w:jc w:val="center"/>
              <w:rPr>
                <w:rFonts w:hint="eastAsia" w:ascii="宋体" w:hAnsi="宋体" w:eastAsia="宋体" w:cs="宋体"/>
                <w:color w:val="000000"/>
                <w:kern w:val="0"/>
                <w:sz w:val="24"/>
                <w:szCs w:val="24"/>
              </w:rPr>
            </w:pPr>
          </w:p>
        </w:tc>
        <w:tc>
          <w:tcPr>
            <w:tcW w:w="880" w:type="dxa"/>
            <w:tcBorders>
              <w:top w:val="nil"/>
              <w:left w:val="nil"/>
              <w:bottom w:val="single" w:color="auto" w:sz="4" w:space="0"/>
              <w:right w:val="single" w:color="auto" w:sz="4" w:space="0"/>
            </w:tcBorders>
            <w:noWrap w:val="0"/>
            <w:vAlign w:val="center"/>
          </w:tcPr>
          <w:p w14:paraId="2898AE17">
            <w:pPr>
              <w:widowControl/>
              <w:jc w:val="center"/>
              <w:rPr>
                <w:rFonts w:hint="eastAsia" w:ascii="仿宋" w:hAnsi="仿宋" w:eastAsia="仿宋" w:cs="宋体"/>
                <w:color w:val="000000"/>
                <w:kern w:val="0"/>
                <w:sz w:val="24"/>
                <w:szCs w:val="24"/>
              </w:rPr>
            </w:pPr>
          </w:p>
        </w:tc>
      </w:tr>
      <w:tr w14:paraId="27143802">
        <w:tblPrEx>
          <w:tblCellMar>
            <w:top w:w="0" w:type="dxa"/>
            <w:left w:w="108" w:type="dxa"/>
            <w:bottom w:w="0" w:type="dxa"/>
            <w:right w:w="108" w:type="dxa"/>
          </w:tblCellMar>
        </w:tblPrEx>
        <w:trPr>
          <w:trHeight w:val="375" w:hRule="atLeast"/>
        </w:trPr>
        <w:tc>
          <w:tcPr>
            <w:tcW w:w="720" w:type="dxa"/>
            <w:tcBorders>
              <w:top w:val="nil"/>
              <w:left w:val="single" w:color="auto" w:sz="4" w:space="0"/>
              <w:bottom w:val="single" w:color="auto" w:sz="4" w:space="0"/>
              <w:right w:val="single" w:color="auto" w:sz="4" w:space="0"/>
            </w:tcBorders>
            <w:noWrap w:val="0"/>
            <w:vAlign w:val="center"/>
          </w:tcPr>
          <w:p w14:paraId="417543D2">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w:t>
            </w:r>
          </w:p>
        </w:tc>
        <w:tc>
          <w:tcPr>
            <w:tcW w:w="1360" w:type="dxa"/>
            <w:tcBorders>
              <w:top w:val="nil"/>
              <w:left w:val="nil"/>
              <w:bottom w:val="single" w:color="auto" w:sz="4" w:space="0"/>
              <w:right w:val="single" w:color="auto" w:sz="4" w:space="0"/>
            </w:tcBorders>
            <w:noWrap w:val="0"/>
            <w:vAlign w:val="center"/>
          </w:tcPr>
          <w:p w14:paraId="0266A489">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螺纹钢筋</w:t>
            </w:r>
          </w:p>
        </w:tc>
        <w:tc>
          <w:tcPr>
            <w:tcW w:w="720" w:type="dxa"/>
            <w:tcBorders>
              <w:top w:val="nil"/>
              <w:left w:val="nil"/>
              <w:bottom w:val="single" w:color="auto" w:sz="4" w:space="0"/>
              <w:right w:val="single" w:color="auto" w:sz="4" w:space="0"/>
            </w:tcBorders>
            <w:noWrap w:val="0"/>
            <w:vAlign w:val="center"/>
          </w:tcPr>
          <w:p w14:paraId="35E58F63">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Ф25</w:t>
            </w:r>
          </w:p>
        </w:tc>
        <w:tc>
          <w:tcPr>
            <w:tcW w:w="720" w:type="dxa"/>
            <w:tcBorders>
              <w:top w:val="nil"/>
              <w:left w:val="nil"/>
              <w:bottom w:val="single" w:color="auto" w:sz="4" w:space="0"/>
              <w:right w:val="single" w:color="auto" w:sz="4" w:space="0"/>
            </w:tcBorders>
            <w:noWrap w:val="0"/>
            <w:vAlign w:val="center"/>
          </w:tcPr>
          <w:p w14:paraId="73C31441">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T</w:t>
            </w:r>
          </w:p>
        </w:tc>
        <w:tc>
          <w:tcPr>
            <w:tcW w:w="1140" w:type="dxa"/>
            <w:tcBorders>
              <w:top w:val="nil"/>
              <w:left w:val="nil"/>
              <w:bottom w:val="single" w:color="auto" w:sz="4" w:space="0"/>
              <w:right w:val="single" w:color="auto" w:sz="4" w:space="0"/>
            </w:tcBorders>
            <w:noWrap w:val="0"/>
            <w:vAlign w:val="top"/>
          </w:tcPr>
          <w:p w14:paraId="399A0501">
            <w:pPr>
              <w:spacing w:beforeLines="0" w:afterLines="0"/>
              <w:jc w:val="center"/>
              <w:rPr>
                <w:rFonts w:hint="eastAsia" w:ascii="宋体" w:hAnsi="宋体" w:eastAsia="宋体" w:cs="宋体"/>
                <w:color w:val="000000"/>
                <w:kern w:val="0"/>
                <w:sz w:val="24"/>
                <w:szCs w:val="24"/>
              </w:rPr>
            </w:pPr>
            <w:r>
              <w:rPr>
                <w:rFonts w:hint="eastAsia" w:ascii="宋体" w:hAnsi="宋体" w:eastAsia="宋体" w:cs="Times New Roman"/>
                <w:color w:val="000000"/>
                <w:sz w:val="24"/>
                <w:szCs w:val="24"/>
              </w:rPr>
              <w:t>21.60</w:t>
            </w:r>
          </w:p>
        </w:tc>
        <w:tc>
          <w:tcPr>
            <w:tcW w:w="1280" w:type="dxa"/>
            <w:tcBorders>
              <w:top w:val="nil"/>
              <w:left w:val="nil"/>
              <w:bottom w:val="single" w:color="auto" w:sz="4" w:space="0"/>
              <w:right w:val="single" w:color="auto" w:sz="4" w:space="0"/>
            </w:tcBorders>
            <w:noWrap w:val="0"/>
            <w:vAlign w:val="center"/>
          </w:tcPr>
          <w:p w14:paraId="7728C71A">
            <w:pPr>
              <w:widowControl/>
              <w:jc w:val="center"/>
              <w:rPr>
                <w:rFonts w:hint="eastAsia" w:ascii="宋体" w:hAnsi="宋体" w:eastAsia="宋体" w:cs="宋体"/>
                <w:color w:val="000000"/>
                <w:kern w:val="0"/>
                <w:sz w:val="24"/>
                <w:szCs w:val="24"/>
              </w:rPr>
            </w:pPr>
          </w:p>
        </w:tc>
        <w:tc>
          <w:tcPr>
            <w:tcW w:w="1880" w:type="dxa"/>
            <w:tcBorders>
              <w:top w:val="nil"/>
              <w:left w:val="nil"/>
              <w:bottom w:val="single" w:color="auto" w:sz="4" w:space="0"/>
              <w:right w:val="single" w:color="auto" w:sz="4" w:space="0"/>
            </w:tcBorders>
            <w:noWrap w:val="0"/>
            <w:vAlign w:val="top"/>
          </w:tcPr>
          <w:p w14:paraId="400C8343">
            <w:pPr>
              <w:spacing w:beforeLines="0" w:afterLines="0"/>
              <w:jc w:val="center"/>
              <w:rPr>
                <w:rFonts w:hint="eastAsia" w:ascii="宋体" w:hAnsi="宋体" w:eastAsia="宋体" w:cs="宋体"/>
                <w:color w:val="000000"/>
                <w:kern w:val="0"/>
                <w:sz w:val="24"/>
                <w:szCs w:val="24"/>
              </w:rPr>
            </w:pPr>
          </w:p>
        </w:tc>
        <w:tc>
          <w:tcPr>
            <w:tcW w:w="880" w:type="dxa"/>
            <w:tcBorders>
              <w:top w:val="nil"/>
              <w:left w:val="nil"/>
              <w:bottom w:val="single" w:color="auto" w:sz="4" w:space="0"/>
              <w:right w:val="single" w:color="auto" w:sz="4" w:space="0"/>
            </w:tcBorders>
            <w:noWrap w:val="0"/>
            <w:vAlign w:val="center"/>
          </w:tcPr>
          <w:p w14:paraId="2042D4CA">
            <w:pPr>
              <w:widowControl/>
              <w:jc w:val="center"/>
              <w:rPr>
                <w:rFonts w:hint="eastAsia" w:ascii="仿宋" w:hAnsi="仿宋" w:eastAsia="仿宋" w:cs="宋体"/>
                <w:color w:val="000000"/>
                <w:kern w:val="0"/>
                <w:sz w:val="24"/>
                <w:szCs w:val="24"/>
              </w:rPr>
            </w:pPr>
          </w:p>
        </w:tc>
      </w:tr>
      <w:tr w14:paraId="75F5A4C5">
        <w:tblPrEx>
          <w:tblCellMar>
            <w:top w:w="0" w:type="dxa"/>
            <w:left w:w="108" w:type="dxa"/>
            <w:bottom w:w="0" w:type="dxa"/>
            <w:right w:w="108" w:type="dxa"/>
          </w:tblCellMar>
        </w:tblPrEx>
        <w:trPr>
          <w:trHeight w:val="375" w:hRule="atLeast"/>
        </w:trPr>
        <w:tc>
          <w:tcPr>
            <w:tcW w:w="5940" w:type="dxa"/>
            <w:gridSpan w:val="6"/>
            <w:tcBorders>
              <w:top w:val="single" w:color="auto" w:sz="4" w:space="0"/>
              <w:left w:val="single" w:color="auto" w:sz="4" w:space="0"/>
              <w:bottom w:val="single" w:color="auto" w:sz="4" w:space="0"/>
              <w:right w:val="single" w:color="auto" w:sz="4" w:space="0"/>
            </w:tcBorders>
            <w:noWrap w:val="0"/>
            <w:vAlign w:val="center"/>
          </w:tcPr>
          <w:p w14:paraId="3DAD1BD2">
            <w:pPr>
              <w:widowControl/>
              <w:jc w:val="center"/>
              <w:rPr>
                <w:rFonts w:hint="eastAsia" w:ascii="仿宋" w:hAnsi="仿宋" w:eastAsia="仿宋" w:cs="宋体"/>
                <w:b/>
                <w:bCs/>
                <w:color w:val="000000"/>
                <w:kern w:val="0"/>
                <w:sz w:val="24"/>
                <w:szCs w:val="24"/>
              </w:rPr>
            </w:pPr>
            <w:r>
              <w:rPr>
                <w:rFonts w:hint="eastAsia" w:ascii="仿宋" w:hAnsi="仿宋" w:eastAsia="仿宋" w:cs="宋体"/>
                <w:b/>
                <w:bCs/>
                <w:color w:val="000000"/>
                <w:kern w:val="0"/>
                <w:sz w:val="24"/>
                <w:szCs w:val="24"/>
              </w:rPr>
              <w:t>不含增值税总价（元）</w:t>
            </w:r>
          </w:p>
        </w:tc>
        <w:tc>
          <w:tcPr>
            <w:tcW w:w="1880" w:type="dxa"/>
            <w:tcBorders>
              <w:top w:val="nil"/>
              <w:left w:val="nil"/>
              <w:bottom w:val="single" w:color="auto" w:sz="4" w:space="0"/>
              <w:right w:val="single" w:color="auto" w:sz="4" w:space="0"/>
            </w:tcBorders>
            <w:noWrap w:val="0"/>
            <w:vAlign w:val="top"/>
          </w:tcPr>
          <w:p w14:paraId="6671755F">
            <w:pPr>
              <w:spacing w:beforeLines="0" w:afterLines="0"/>
              <w:jc w:val="center"/>
              <w:rPr>
                <w:rFonts w:hint="eastAsia" w:ascii="宋体" w:hAnsi="宋体" w:eastAsia="宋体" w:cs="宋体"/>
                <w:b/>
                <w:bCs/>
                <w:color w:val="000000"/>
                <w:kern w:val="0"/>
                <w:sz w:val="24"/>
                <w:szCs w:val="24"/>
              </w:rPr>
            </w:pPr>
          </w:p>
        </w:tc>
        <w:tc>
          <w:tcPr>
            <w:tcW w:w="880" w:type="dxa"/>
            <w:tcBorders>
              <w:top w:val="nil"/>
              <w:left w:val="nil"/>
              <w:bottom w:val="single" w:color="auto" w:sz="4" w:space="0"/>
              <w:right w:val="single" w:color="auto" w:sz="4" w:space="0"/>
            </w:tcBorders>
            <w:noWrap w:val="0"/>
            <w:vAlign w:val="center"/>
          </w:tcPr>
          <w:p w14:paraId="28705BA3">
            <w:pPr>
              <w:widowControl/>
              <w:rPr>
                <w:rFonts w:hint="eastAsia" w:ascii="仿宋" w:hAnsi="仿宋" w:eastAsia="仿宋" w:cs="宋体"/>
                <w:color w:val="000000"/>
                <w:kern w:val="0"/>
                <w:sz w:val="24"/>
                <w:szCs w:val="24"/>
              </w:rPr>
            </w:pPr>
          </w:p>
        </w:tc>
      </w:tr>
      <w:tr w14:paraId="65BDA149">
        <w:tblPrEx>
          <w:tblCellMar>
            <w:top w:w="0" w:type="dxa"/>
            <w:left w:w="108" w:type="dxa"/>
            <w:bottom w:w="0" w:type="dxa"/>
            <w:right w:w="108" w:type="dxa"/>
          </w:tblCellMar>
        </w:tblPrEx>
        <w:trPr>
          <w:trHeight w:val="375" w:hRule="atLeast"/>
        </w:trPr>
        <w:tc>
          <w:tcPr>
            <w:tcW w:w="5940" w:type="dxa"/>
            <w:gridSpan w:val="6"/>
            <w:tcBorders>
              <w:top w:val="single" w:color="auto" w:sz="4" w:space="0"/>
              <w:left w:val="single" w:color="auto" w:sz="4" w:space="0"/>
              <w:bottom w:val="single" w:color="auto" w:sz="4" w:space="0"/>
              <w:right w:val="single" w:color="auto" w:sz="4" w:space="0"/>
            </w:tcBorders>
            <w:noWrap w:val="0"/>
            <w:vAlign w:val="center"/>
          </w:tcPr>
          <w:p w14:paraId="62AFDE36">
            <w:pPr>
              <w:widowControl/>
              <w:jc w:val="center"/>
              <w:rPr>
                <w:rFonts w:hint="eastAsia" w:ascii="仿宋" w:hAnsi="仿宋" w:eastAsia="仿宋" w:cs="宋体"/>
                <w:b/>
                <w:bCs/>
                <w:color w:val="000000"/>
                <w:kern w:val="0"/>
                <w:sz w:val="24"/>
                <w:szCs w:val="24"/>
              </w:rPr>
            </w:pPr>
            <w:r>
              <w:rPr>
                <w:rFonts w:hint="eastAsia" w:ascii="仿宋" w:hAnsi="仿宋" w:eastAsia="仿宋" w:cs="宋体"/>
                <w:b/>
                <w:bCs/>
                <w:color w:val="000000"/>
                <w:kern w:val="0"/>
                <w:sz w:val="24"/>
                <w:szCs w:val="24"/>
              </w:rPr>
              <w:t>其中增值税金（</w:t>
            </w:r>
            <w:r>
              <w:rPr>
                <w:rFonts w:hint="eastAsia" w:ascii="仿宋" w:hAnsi="仿宋" w:eastAsia="仿宋" w:cs="宋体"/>
                <w:b/>
                <w:bCs/>
                <w:color w:val="000000"/>
                <w:kern w:val="0"/>
                <w:sz w:val="24"/>
                <w:szCs w:val="24"/>
                <w:u w:val="single"/>
              </w:rPr>
              <w:t xml:space="preserve"> </w:t>
            </w:r>
            <w:r>
              <w:rPr>
                <w:rFonts w:hint="eastAsia" w:ascii="仿宋" w:hAnsi="仿宋" w:eastAsia="仿宋" w:cs="宋体"/>
                <w:b/>
                <w:bCs/>
                <w:color w:val="000000"/>
                <w:kern w:val="0"/>
                <w:sz w:val="24"/>
                <w:szCs w:val="24"/>
                <w:u w:val="single"/>
                <w:lang w:val="en-US" w:eastAsia="zh-CN"/>
              </w:rPr>
              <w:t xml:space="preserve">  </w:t>
            </w:r>
            <w:r>
              <w:rPr>
                <w:rFonts w:hint="eastAsia" w:ascii="仿宋" w:hAnsi="仿宋" w:eastAsia="仿宋" w:cs="宋体"/>
                <w:b/>
                <w:bCs/>
                <w:color w:val="000000"/>
                <w:kern w:val="0"/>
                <w:sz w:val="24"/>
                <w:szCs w:val="24"/>
                <w:u w:val="single"/>
              </w:rPr>
              <w:t xml:space="preserve"> </w:t>
            </w:r>
            <w:r>
              <w:rPr>
                <w:rFonts w:hint="eastAsia" w:ascii="仿宋" w:hAnsi="仿宋" w:eastAsia="仿宋" w:cs="宋体"/>
                <w:b/>
                <w:bCs/>
                <w:color w:val="000000"/>
                <w:kern w:val="0"/>
                <w:sz w:val="24"/>
                <w:szCs w:val="24"/>
              </w:rPr>
              <w:t>%）</w:t>
            </w:r>
          </w:p>
        </w:tc>
        <w:tc>
          <w:tcPr>
            <w:tcW w:w="1880" w:type="dxa"/>
            <w:tcBorders>
              <w:top w:val="nil"/>
              <w:left w:val="nil"/>
              <w:bottom w:val="single" w:color="auto" w:sz="4" w:space="0"/>
              <w:right w:val="single" w:color="auto" w:sz="4" w:space="0"/>
            </w:tcBorders>
            <w:noWrap w:val="0"/>
            <w:vAlign w:val="top"/>
          </w:tcPr>
          <w:p w14:paraId="46DBFA54">
            <w:pPr>
              <w:spacing w:beforeLines="0" w:afterLines="0"/>
              <w:jc w:val="center"/>
              <w:rPr>
                <w:rFonts w:hint="eastAsia" w:ascii="宋体" w:hAnsi="宋体" w:eastAsia="宋体" w:cs="宋体"/>
                <w:b/>
                <w:bCs/>
                <w:color w:val="000000"/>
                <w:kern w:val="0"/>
                <w:sz w:val="24"/>
                <w:szCs w:val="24"/>
              </w:rPr>
            </w:pPr>
          </w:p>
        </w:tc>
        <w:tc>
          <w:tcPr>
            <w:tcW w:w="880" w:type="dxa"/>
            <w:tcBorders>
              <w:top w:val="nil"/>
              <w:left w:val="nil"/>
              <w:bottom w:val="single" w:color="auto" w:sz="4" w:space="0"/>
              <w:right w:val="single" w:color="auto" w:sz="4" w:space="0"/>
            </w:tcBorders>
            <w:noWrap w:val="0"/>
            <w:vAlign w:val="center"/>
          </w:tcPr>
          <w:p w14:paraId="1B0A8D84">
            <w:pPr>
              <w:widowControl/>
              <w:rPr>
                <w:rFonts w:hint="eastAsia" w:ascii="仿宋" w:hAnsi="仿宋" w:eastAsia="仿宋" w:cs="宋体"/>
                <w:color w:val="000000"/>
                <w:kern w:val="0"/>
                <w:sz w:val="24"/>
                <w:szCs w:val="24"/>
              </w:rPr>
            </w:pPr>
          </w:p>
        </w:tc>
      </w:tr>
      <w:tr w14:paraId="26F36878">
        <w:tblPrEx>
          <w:tblCellMar>
            <w:top w:w="0" w:type="dxa"/>
            <w:left w:w="108" w:type="dxa"/>
            <w:bottom w:w="0" w:type="dxa"/>
            <w:right w:w="108" w:type="dxa"/>
          </w:tblCellMar>
        </w:tblPrEx>
        <w:trPr>
          <w:trHeight w:val="375" w:hRule="atLeast"/>
        </w:trPr>
        <w:tc>
          <w:tcPr>
            <w:tcW w:w="5940" w:type="dxa"/>
            <w:gridSpan w:val="6"/>
            <w:tcBorders>
              <w:top w:val="single" w:color="auto" w:sz="4" w:space="0"/>
              <w:left w:val="single" w:color="auto" w:sz="4" w:space="0"/>
              <w:bottom w:val="single" w:color="auto" w:sz="4" w:space="0"/>
              <w:right w:val="single" w:color="auto" w:sz="4" w:space="0"/>
            </w:tcBorders>
            <w:noWrap w:val="0"/>
            <w:vAlign w:val="center"/>
          </w:tcPr>
          <w:p w14:paraId="003733FC">
            <w:pPr>
              <w:widowControl/>
              <w:jc w:val="center"/>
              <w:rPr>
                <w:rFonts w:hint="eastAsia" w:ascii="仿宋" w:hAnsi="仿宋" w:eastAsia="仿宋" w:cs="宋体"/>
                <w:b/>
                <w:bCs/>
                <w:color w:val="000000"/>
                <w:kern w:val="0"/>
                <w:sz w:val="24"/>
                <w:szCs w:val="24"/>
              </w:rPr>
            </w:pPr>
            <w:r>
              <w:rPr>
                <w:rFonts w:hint="eastAsia" w:ascii="仿宋" w:hAnsi="仿宋" w:eastAsia="仿宋" w:cs="宋体"/>
                <w:b/>
                <w:bCs/>
                <w:color w:val="000000"/>
                <w:kern w:val="0"/>
                <w:sz w:val="24"/>
                <w:szCs w:val="24"/>
              </w:rPr>
              <w:t>含增值税总价（元）</w:t>
            </w:r>
          </w:p>
        </w:tc>
        <w:tc>
          <w:tcPr>
            <w:tcW w:w="1880" w:type="dxa"/>
            <w:tcBorders>
              <w:top w:val="nil"/>
              <w:left w:val="nil"/>
              <w:bottom w:val="single" w:color="auto" w:sz="4" w:space="0"/>
              <w:right w:val="single" w:color="auto" w:sz="4" w:space="0"/>
            </w:tcBorders>
            <w:noWrap w:val="0"/>
            <w:vAlign w:val="top"/>
          </w:tcPr>
          <w:p w14:paraId="72E43240">
            <w:pPr>
              <w:spacing w:beforeLines="0" w:afterLines="0"/>
              <w:jc w:val="center"/>
              <w:rPr>
                <w:rFonts w:hint="eastAsia" w:ascii="宋体" w:hAnsi="宋体" w:eastAsia="宋体" w:cs="宋体"/>
                <w:b/>
                <w:bCs/>
                <w:color w:val="000000"/>
                <w:kern w:val="0"/>
                <w:sz w:val="24"/>
                <w:szCs w:val="24"/>
              </w:rPr>
            </w:pPr>
          </w:p>
        </w:tc>
        <w:tc>
          <w:tcPr>
            <w:tcW w:w="880" w:type="dxa"/>
            <w:tcBorders>
              <w:top w:val="nil"/>
              <w:left w:val="nil"/>
              <w:bottom w:val="single" w:color="auto" w:sz="4" w:space="0"/>
              <w:right w:val="single" w:color="auto" w:sz="4" w:space="0"/>
            </w:tcBorders>
            <w:noWrap w:val="0"/>
            <w:vAlign w:val="center"/>
          </w:tcPr>
          <w:p w14:paraId="6F6B9B05">
            <w:pPr>
              <w:widowControl/>
              <w:rPr>
                <w:rFonts w:hint="eastAsia" w:ascii="仿宋" w:hAnsi="仿宋" w:eastAsia="仿宋" w:cs="宋体"/>
                <w:color w:val="000000"/>
                <w:kern w:val="0"/>
                <w:sz w:val="24"/>
                <w:szCs w:val="24"/>
              </w:rPr>
            </w:pPr>
          </w:p>
        </w:tc>
      </w:tr>
    </w:tbl>
    <w:p w14:paraId="3D7F81A4">
      <w:pPr>
        <w:spacing w:line="360" w:lineRule="auto"/>
        <w:ind w:firstLine="480" w:firstLineChars="200"/>
        <w:rPr>
          <w:rFonts w:hint="eastAsia" w:ascii="仿宋" w:hAnsi="仿宋" w:eastAsia="仿宋" w:cs="Times New Roman"/>
          <w:sz w:val="24"/>
          <w:szCs w:val="24"/>
        </w:rPr>
      </w:pPr>
    </w:p>
    <w:p w14:paraId="4A108C09">
      <w:pPr>
        <w:pBdr>
          <w:between w:val="single" w:color="auto" w:sz="4" w:space="0"/>
        </w:pBdr>
        <w:snapToGrid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注：⑴ 表中所列“需求数量”为暂定数量，实际供应数量以项目部签收核实为准，当甲方实际需求数量不足表中数量时，乙方不得以需求不足向甲方进行索偿；合同的暂定含税总价为</w:t>
      </w:r>
      <w:r>
        <w:rPr>
          <w:rFonts w:hint="eastAsia" w:ascii="仿宋" w:hAnsi="仿宋" w:eastAsia="仿宋" w:cs="Times New Roman"/>
          <w:b/>
          <w:bCs/>
          <w:sz w:val="24"/>
          <w:szCs w:val="24"/>
        </w:rPr>
        <w:t>￥</w:t>
      </w:r>
      <w:r>
        <w:rPr>
          <w:rFonts w:hint="eastAsia" w:ascii="仿宋" w:hAnsi="仿宋" w:eastAsia="仿宋" w:cs="Times New Roman"/>
          <w:b/>
          <w:bCs/>
          <w:sz w:val="24"/>
          <w:szCs w:val="24"/>
          <w:u w:val="single"/>
          <w:lang w:val="en-US" w:eastAsia="zh-CN"/>
        </w:rPr>
        <w:t xml:space="preserve">     </w:t>
      </w:r>
      <w:r>
        <w:rPr>
          <w:rFonts w:hint="eastAsia" w:ascii="仿宋" w:hAnsi="仿宋" w:eastAsia="仿宋" w:cs="Times New Roman"/>
          <w:b/>
          <w:bCs/>
          <w:sz w:val="24"/>
          <w:szCs w:val="24"/>
          <w:u w:val="single"/>
        </w:rPr>
        <w:t>元</w:t>
      </w:r>
      <w:r>
        <w:rPr>
          <w:rFonts w:hint="eastAsia" w:ascii="仿宋" w:hAnsi="仿宋" w:eastAsia="仿宋" w:cs="Times New Roman"/>
          <w:sz w:val="24"/>
          <w:szCs w:val="24"/>
          <w:u w:val="single"/>
        </w:rPr>
        <w:t>（大写：</w:t>
      </w:r>
      <w:r>
        <w:rPr>
          <w:rFonts w:hint="eastAsia" w:ascii="仿宋" w:hAnsi="仿宋" w:eastAsia="仿宋" w:cs="Times New Roman"/>
          <w:b/>
          <w:bCs/>
          <w:sz w:val="24"/>
          <w:szCs w:val="24"/>
          <w:u w:val="single"/>
          <w:lang w:val="en-US" w:eastAsia="zh-CN"/>
        </w:rPr>
        <w:t xml:space="preserve">    </w:t>
      </w:r>
      <w:r>
        <w:rPr>
          <w:rFonts w:hint="eastAsia" w:ascii="仿宋" w:hAnsi="仿宋" w:eastAsia="仿宋" w:cs="Times New Roman"/>
          <w:sz w:val="24"/>
          <w:szCs w:val="24"/>
          <w:u w:val="single"/>
        </w:rPr>
        <w:t>）</w:t>
      </w:r>
      <w:r>
        <w:rPr>
          <w:rFonts w:hint="eastAsia" w:ascii="仿宋" w:hAnsi="仿宋" w:eastAsia="仿宋" w:cs="Times New Roman"/>
          <w:sz w:val="24"/>
          <w:szCs w:val="24"/>
        </w:rPr>
        <w:t>，其中不含增值税总价为</w:t>
      </w:r>
      <w:r>
        <w:rPr>
          <w:rFonts w:hint="eastAsia" w:ascii="仿宋" w:hAnsi="仿宋" w:eastAsia="仿宋" w:cs="Times New Roman"/>
          <w:b/>
          <w:bCs/>
          <w:sz w:val="24"/>
          <w:szCs w:val="24"/>
        </w:rPr>
        <w:t>￥</w:t>
      </w:r>
      <w:r>
        <w:rPr>
          <w:rFonts w:hint="eastAsia" w:ascii="宋体" w:hAnsi="宋体" w:eastAsia="宋体" w:cs="Times New Roman"/>
          <w:b/>
          <w:bCs/>
          <w:color w:val="000000"/>
          <w:sz w:val="24"/>
          <w:szCs w:val="24"/>
          <w:u w:val="single"/>
          <w:lang w:val="en-US" w:eastAsia="zh-CN"/>
        </w:rPr>
        <w:t xml:space="preserve">    </w:t>
      </w:r>
      <w:r>
        <w:rPr>
          <w:rFonts w:hint="eastAsia" w:ascii="仿宋" w:hAnsi="仿宋" w:eastAsia="仿宋" w:cs="Times New Roman"/>
          <w:b/>
          <w:bCs/>
          <w:sz w:val="24"/>
          <w:szCs w:val="24"/>
          <w:u w:val="single"/>
        </w:rPr>
        <w:t>元</w:t>
      </w:r>
      <w:r>
        <w:rPr>
          <w:rFonts w:hint="eastAsia" w:ascii="仿宋" w:hAnsi="仿宋" w:eastAsia="仿宋" w:cs="Times New Roman"/>
          <w:sz w:val="24"/>
          <w:szCs w:val="24"/>
          <w:u w:val="single"/>
        </w:rPr>
        <w:t>（大写：</w:t>
      </w:r>
      <w:r>
        <w:rPr>
          <w:rFonts w:hint="eastAsia" w:ascii="仿宋" w:hAnsi="仿宋" w:eastAsia="仿宋" w:cs="Times New Roman"/>
          <w:b/>
          <w:bCs/>
          <w:sz w:val="24"/>
          <w:szCs w:val="24"/>
          <w:u w:val="single"/>
          <w:lang w:val="en-US" w:eastAsia="zh-CN"/>
        </w:rPr>
        <w:t xml:space="preserve">     </w:t>
      </w:r>
      <w:r>
        <w:rPr>
          <w:rFonts w:hint="eastAsia" w:ascii="仿宋" w:hAnsi="仿宋" w:eastAsia="仿宋" w:cs="Times New Roman"/>
          <w:sz w:val="24"/>
          <w:szCs w:val="24"/>
          <w:u w:val="single"/>
        </w:rPr>
        <w:t>）</w:t>
      </w:r>
      <w:r>
        <w:rPr>
          <w:rFonts w:hint="eastAsia" w:ascii="仿宋" w:hAnsi="仿宋" w:eastAsia="仿宋" w:cs="Times New Roman"/>
          <w:sz w:val="24"/>
          <w:szCs w:val="24"/>
        </w:rPr>
        <w:t>，增值税为</w:t>
      </w:r>
      <w:r>
        <w:rPr>
          <w:rFonts w:hint="eastAsia" w:ascii="仿宋" w:hAnsi="仿宋" w:eastAsia="仿宋" w:cs="Times New Roman"/>
          <w:b/>
          <w:bCs/>
          <w:sz w:val="24"/>
          <w:szCs w:val="24"/>
        </w:rPr>
        <w:t>￥</w:t>
      </w:r>
      <w:r>
        <w:rPr>
          <w:rFonts w:hint="eastAsia" w:ascii="宋体" w:hAnsi="宋体" w:eastAsia="宋体" w:cs="Times New Roman"/>
          <w:b/>
          <w:bCs/>
          <w:color w:val="000000"/>
          <w:sz w:val="24"/>
          <w:szCs w:val="24"/>
          <w:u w:val="single"/>
          <w:lang w:val="en-US" w:eastAsia="zh-CN"/>
        </w:rPr>
        <w:t xml:space="preserve">    </w:t>
      </w:r>
      <w:r>
        <w:rPr>
          <w:rFonts w:hint="eastAsia" w:ascii="仿宋" w:hAnsi="仿宋" w:eastAsia="仿宋" w:cs="Times New Roman"/>
          <w:b/>
          <w:bCs/>
          <w:sz w:val="24"/>
          <w:szCs w:val="24"/>
          <w:u w:val="single"/>
        </w:rPr>
        <w:t>元</w:t>
      </w:r>
      <w:r>
        <w:rPr>
          <w:rFonts w:hint="eastAsia" w:ascii="仿宋" w:hAnsi="仿宋" w:eastAsia="仿宋" w:cs="Times New Roman"/>
          <w:sz w:val="24"/>
          <w:szCs w:val="24"/>
          <w:u w:val="single"/>
        </w:rPr>
        <w:t>（大写：</w:t>
      </w:r>
      <w:r>
        <w:rPr>
          <w:rFonts w:hint="eastAsia" w:ascii="仿宋" w:hAnsi="仿宋" w:eastAsia="仿宋" w:cs="Times New Roman"/>
          <w:b/>
          <w:bCs/>
          <w:sz w:val="24"/>
          <w:szCs w:val="24"/>
          <w:u w:val="single"/>
          <w:lang w:val="en-US" w:eastAsia="zh-CN"/>
        </w:rPr>
        <w:t xml:space="preserve">    </w:t>
      </w:r>
      <w:r>
        <w:rPr>
          <w:rFonts w:hint="eastAsia" w:ascii="仿宋" w:hAnsi="仿宋" w:eastAsia="仿宋" w:cs="Times New Roman"/>
          <w:sz w:val="24"/>
          <w:szCs w:val="24"/>
          <w:u w:val="single"/>
        </w:rPr>
        <w:t>）</w:t>
      </w:r>
      <w:r>
        <w:rPr>
          <w:rFonts w:hint="eastAsia" w:ascii="仿宋" w:hAnsi="仿宋" w:eastAsia="仿宋" w:cs="Times New Roman"/>
          <w:sz w:val="24"/>
          <w:szCs w:val="24"/>
        </w:rPr>
        <w:t>，增值税按不含增值税总价的</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单列</w:t>
      </w:r>
      <w:r>
        <w:rPr>
          <w:rStyle w:val="11"/>
          <w:rFonts w:hint="eastAsia" w:ascii="仿宋" w:hAnsi="仿宋" w:eastAsia="仿宋" w:cs="宋体"/>
          <w:b w:val="0"/>
          <w:sz w:val="24"/>
          <w:szCs w:val="24"/>
        </w:rPr>
        <w:t>（增值税税率随国家政策和适用税率同步调整）</w:t>
      </w:r>
      <w:r>
        <w:rPr>
          <w:rFonts w:hint="eastAsia" w:ascii="仿宋" w:hAnsi="仿宋" w:eastAsia="仿宋" w:cs="Times New Roman"/>
          <w:sz w:val="24"/>
          <w:szCs w:val="24"/>
        </w:rPr>
        <w:t>；合同综合单价</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固定单价，钢筋单价随行就市，</w:t>
      </w:r>
      <w:r>
        <w:rPr>
          <w:rFonts w:hint="eastAsia" w:ascii="仿宋" w:hAnsi="仿宋" w:eastAsia="仿宋" w:cs="仿宋"/>
          <w:sz w:val="24"/>
          <w:szCs w:val="24"/>
        </w:rPr>
        <w:t>以下单当日我的钢铁网https://www.mysteel.com/最新一期惠州市场（如惠州市场没有该品牌，可用广州市场对应）建筑钢材价格行情为基准价+0元/t（即：基准价+0元=合同交易价）</w:t>
      </w:r>
      <w:r>
        <w:rPr>
          <w:rFonts w:hint="eastAsia" w:ascii="仿宋" w:hAnsi="仿宋" w:eastAsia="仿宋" w:cs="Times New Roman"/>
          <w:sz w:val="24"/>
          <w:szCs w:val="24"/>
        </w:rPr>
        <w:t>；本合同暂定总价不作为双方最终结算的依据。结算供货量按实际发生的每月得到甲方签认计量的供货量为准，材料验收合格后由双方验收人员在送货单、材料签收单、过磅单上签字。每月材料对账根据甲乙双方材料验收人员签字的单据经行汇总，对账汇总表甲乙双方必须加盖公章（或项目公章）及签名确认，甲方签名确认为项目经理。最终结算以双方签名加盖公章的汇总表为准。</w:t>
      </w:r>
    </w:p>
    <w:p w14:paraId="406B6E71">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本合同不含增值税总价包括：材料运输、钢筋加工、运至甲方指定场地的车板交货综合费用，包括但不仅于钢筋加工成本、乙方管理费、利润、除增值税以外的一切税费（包括但不限于为实施本合同应缴纳的企业所得税、个人所得税、印花税、城市维护建设税、教育费附加、地方教育附加等）。</w:t>
      </w:r>
    </w:p>
    <w:p w14:paraId="6D517477">
      <w:pPr>
        <w:widowControl w:val="0"/>
        <w:spacing w:after="0" w:afterLines="0" w:afterAutospacing="0" w:line="360" w:lineRule="auto"/>
        <w:ind w:firstLine="480" w:firstLineChars="200"/>
        <w:jc w:val="both"/>
        <w:rPr>
          <w:rFonts w:ascii="Times New Roman" w:hAnsi="Times New Roman"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钢筋品牌：以甲方下单要求品牌准备。</w:t>
      </w:r>
    </w:p>
    <w:p w14:paraId="59D29DD0">
      <w:pPr>
        <w:spacing w:line="360" w:lineRule="auto"/>
        <w:ind w:firstLine="482" w:firstLineChars="200"/>
        <w:rPr>
          <w:rFonts w:hint="eastAsia" w:ascii="仿宋" w:hAnsi="仿宋" w:eastAsia="仿宋" w:cs="Times New Roman"/>
          <w:b/>
          <w:bCs/>
          <w:sz w:val="24"/>
          <w:szCs w:val="24"/>
        </w:rPr>
      </w:pPr>
      <w:r>
        <w:rPr>
          <w:rFonts w:hint="eastAsia" w:ascii="仿宋" w:hAnsi="仿宋" w:eastAsia="仿宋" w:cs="Times New Roman"/>
          <w:b/>
          <w:bCs/>
          <w:sz w:val="24"/>
          <w:szCs w:val="24"/>
        </w:rPr>
        <w:t>第二条  供货模式</w:t>
      </w:r>
    </w:p>
    <w:p w14:paraId="1050E08C">
      <w:pPr>
        <w:tabs>
          <w:tab w:val="left" w:pos="1260"/>
        </w:tabs>
        <w:autoSpaceDE w:val="0"/>
        <w:autoSpaceDN w:val="0"/>
        <w:spacing w:line="360" w:lineRule="auto"/>
        <w:ind w:firstLine="480" w:firstLineChars="200"/>
        <w:rPr>
          <w:rFonts w:hint="eastAsia" w:ascii="仿宋" w:hAnsi="仿宋" w:eastAsia="仿宋" w:cs="仿宋"/>
          <w:bCs/>
          <w:sz w:val="24"/>
          <w:szCs w:val="24"/>
          <w:lang w:val="zh-CN"/>
        </w:rPr>
      </w:pPr>
      <w:r>
        <w:rPr>
          <w:rFonts w:hint="eastAsia" w:ascii="仿宋" w:hAnsi="仿宋" w:eastAsia="仿宋" w:cs="仿宋"/>
          <w:bCs/>
          <w:sz w:val="24"/>
          <w:szCs w:val="24"/>
          <w:lang w:val="zh-CN"/>
        </w:rPr>
        <w:t>1、乙方根据甲方</w:t>
      </w:r>
      <w:r>
        <w:rPr>
          <w:rFonts w:hint="eastAsia" w:ascii="仿宋" w:hAnsi="仿宋" w:eastAsia="仿宋" w:cs="仿宋"/>
          <w:sz w:val="24"/>
          <w:szCs w:val="24"/>
        </w:rPr>
        <w:t>钢筋</w:t>
      </w:r>
      <w:r>
        <w:rPr>
          <w:rFonts w:hint="eastAsia" w:ascii="仿宋" w:hAnsi="仿宋" w:eastAsia="仿宋" w:cs="仿宋"/>
          <w:bCs/>
          <w:sz w:val="24"/>
          <w:szCs w:val="24"/>
          <w:lang w:val="zh-CN"/>
        </w:rPr>
        <w:t>需求及</w:t>
      </w:r>
      <w:r>
        <w:rPr>
          <w:rFonts w:hint="eastAsia" w:ascii="仿宋" w:hAnsi="仿宋" w:eastAsia="仿宋" w:cs="仿宋"/>
          <w:bCs/>
          <w:sz w:val="24"/>
          <w:szCs w:val="24"/>
        </w:rPr>
        <w:t>工程项目</w:t>
      </w:r>
      <w:r>
        <w:rPr>
          <w:rFonts w:hint="eastAsia" w:ascii="仿宋" w:hAnsi="仿宋" w:eastAsia="仿宋" w:cs="仿宋"/>
          <w:bCs/>
          <w:sz w:val="24"/>
          <w:szCs w:val="24"/>
          <w:lang w:val="zh-CN"/>
        </w:rPr>
        <w:t>设计图纸要求进行生产，由乙方</w:t>
      </w:r>
      <w:r>
        <w:rPr>
          <w:rFonts w:hint="eastAsia" w:ascii="仿宋" w:hAnsi="仿宋" w:eastAsia="仿宋" w:cs="仿宋"/>
          <w:bCs/>
          <w:sz w:val="24"/>
          <w:szCs w:val="24"/>
        </w:rPr>
        <w:t>负责</w:t>
      </w:r>
      <w:r>
        <w:rPr>
          <w:rFonts w:hint="eastAsia" w:ascii="仿宋" w:hAnsi="仿宋" w:eastAsia="仿宋" w:cs="仿宋"/>
          <w:bCs/>
          <w:sz w:val="24"/>
          <w:szCs w:val="24"/>
          <w:lang w:val="zh-CN"/>
        </w:rPr>
        <w:t>运输</w:t>
      </w:r>
      <w:r>
        <w:rPr>
          <w:rFonts w:hint="eastAsia" w:ascii="仿宋" w:hAnsi="仿宋" w:eastAsia="仿宋" w:cs="仿宋"/>
          <w:sz w:val="24"/>
          <w:szCs w:val="24"/>
        </w:rPr>
        <w:t>至甲方指定地点</w:t>
      </w:r>
      <w:r>
        <w:rPr>
          <w:rFonts w:hint="eastAsia" w:ascii="仿宋" w:hAnsi="仿宋" w:eastAsia="仿宋" w:cs="仿宋"/>
          <w:bCs/>
          <w:sz w:val="24"/>
          <w:szCs w:val="24"/>
          <w:lang w:val="zh-CN"/>
        </w:rPr>
        <w:t>。</w:t>
      </w:r>
    </w:p>
    <w:p w14:paraId="45FCCD96">
      <w:pPr>
        <w:tabs>
          <w:tab w:val="left" w:pos="1260"/>
        </w:tabs>
        <w:autoSpaceDE w:val="0"/>
        <w:autoSpaceDN w:val="0"/>
        <w:spacing w:line="360" w:lineRule="auto"/>
        <w:ind w:firstLine="480" w:firstLineChars="200"/>
        <w:rPr>
          <w:rFonts w:hint="eastAsia" w:ascii="仿宋" w:hAnsi="仿宋" w:eastAsia="仿宋" w:cs="仿宋"/>
          <w:bCs/>
          <w:sz w:val="24"/>
          <w:szCs w:val="24"/>
          <w:lang w:val="zh-CN"/>
        </w:rPr>
      </w:pPr>
      <w:r>
        <w:rPr>
          <w:rFonts w:hint="eastAsia" w:ascii="仿宋" w:hAnsi="仿宋" w:eastAsia="仿宋" w:cs="仿宋"/>
          <w:bCs/>
          <w:sz w:val="24"/>
          <w:szCs w:val="24"/>
          <w:lang w:val="zh-CN"/>
        </w:rPr>
        <w:t>2、</w:t>
      </w:r>
      <w:r>
        <w:rPr>
          <w:rFonts w:hint="eastAsia" w:ascii="仿宋" w:hAnsi="仿宋" w:eastAsia="仿宋" w:cs="仿宋"/>
          <w:sz w:val="24"/>
          <w:szCs w:val="24"/>
        </w:rPr>
        <w:t>钢筋</w:t>
      </w:r>
      <w:r>
        <w:rPr>
          <w:rFonts w:hint="eastAsia" w:ascii="仿宋" w:hAnsi="仿宋" w:eastAsia="仿宋" w:cs="仿宋"/>
          <w:bCs/>
          <w:sz w:val="24"/>
          <w:szCs w:val="24"/>
          <w:lang w:val="zh-CN"/>
        </w:rPr>
        <w:t>的数量确认以甲方验收签认的数量进行计量，最终数量确认需双方共同签认。</w:t>
      </w:r>
    </w:p>
    <w:p w14:paraId="11137BD7">
      <w:pPr>
        <w:autoSpaceDE w:val="0"/>
        <w:autoSpaceDN w:val="0"/>
        <w:spacing w:line="360" w:lineRule="auto"/>
        <w:ind w:firstLine="480" w:firstLineChars="200"/>
        <w:rPr>
          <w:rFonts w:hint="eastAsia" w:ascii="仿宋" w:hAnsi="仿宋" w:eastAsia="仿宋" w:cs="仿宋"/>
          <w:bCs/>
          <w:sz w:val="24"/>
          <w:szCs w:val="24"/>
          <w:lang w:val="zh-CN"/>
        </w:rPr>
      </w:pPr>
      <w:r>
        <w:rPr>
          <w:rFonts w:hint="eastAsia" w:ascii="仿宋" w:hAnsi="仿宋" w:eastAsia="仿宋" w:cs="仿宋"/>
          <w:bCs/>
          <w:sz w:val="24"/>
          <w:szCs w:val="24"/>
          <w:lang w:val="zh-CN"/>
        </w:rPr>
        <w:t>3、乙方并非甲方本项目工程材料的唯一供应商，本合同不影响甲方向其他供应商采购本项目工程所需任何材料，包括本合同供应协商终止</w:t>
      </w:r>
      <w:r>
        <w:rPr>
          <w:rFonts w:hint="eastAsia" w:ascii="仿宋" w:hAnsi="仿宋" w:eastAsia="仿宋" w:cs="仿宋"/>
          <w:bCs/>
          <w:sz w:val="24"/>
          <w:szCs w:val="24"/>
        </w:rPr>
        <w:t>前</w:t>
      </w:r>
      <w:r>
        <w:rPr>
          <w:rFonts w:hint="eastAsia" w:ascii="仿宋" w:hAnsi="仿宋" w:eastAsia="仿宋" w:cs="仿宋"/>
          <w:bCs/>
          <w:sz w:val="24"/>
          <w:szCs w:val="24"/>
          <w:lang w:val="zh-CN"/>
        </w:rPr>
        <w:t>，甲方向其他供应商采购。</w:t>
      </w:r>
    </w:p>
    <w:p w14:paraId="5B209085">
      <w:pPr>
        <w:autoSpaceDE w:val="0"/>
        <w:autoSpaceDN w:val="0"/>
        <w:spacing w:line="360" w:lineRule="auto"/>
        <w:ind w:firstLine="482" w:firstLineChars="200"/>
        <w:rPr>
          <w:rFonts w:hint="eastAsia" w:ascii="仿宋" w:hAnsi="仿宋" w:eastAsia="仿宋" w:cs="Times New Roman"/>
          <w:b/>
          <w:sz w:val="24"/>
          <w:szCs w:val="24"/>
          <w:lang w:val="zh-CN"/>
        </w:rPr>
      </w:pPr>
      <w:r>
        <w:rPr>
          <w:rFonts w:hint="eastAsia" w:ascii="仿宋" w:hAnsi="仿宋" w:eastAsia="仿宋" w:cs="Times New Roman"/>
          <w:b/>
          <w:bCs/>
          <w:sz w:val="24"/>
          <w:szCs w:val="24"/>
        </w:rPr>
        <w:t>第三条  钢筋的检测与验收</w:t>
      </w:r>
    </w:p>
    <w:p w14:paraId="0F266221">
      <w:pPr>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rPr>
        <w:t>1、乙方签订本合同前，必须向甲方提供拟供应钢筋场中甲方所需的各种规格钢筋样本给甲方检验，各种检测合格后方可签订钢筋供应合同；</w:t>
      </w:r>
    </w:p>
    <w:p w14:paraId="63617380">
      <w:pPr>
        <w:autoSpaceDE w:val="0"/>
        <w:autoSpaceDN w:val="0"/>
        <w:spacing w:line="360" w:lineRule="auto"/>
        <w:ind w:firstLine="480" w:firstLineChars="200"/>
        <w:rPr>
          <w:rFonts w:hint="eastAsia" w:ascii="仿宋" w:hAnsi="仿宋" w:eastAsia="仿宋" w:cs="仿宋"/>
          <w:bCs/>
          <w:sz w:val="24"/>
          <w:szCs w:val="24"/>
          <w:lang w:val="zh-CN"/>
        </w:rPr>
      </w:pPr>
      <w:r>
        <w:rPr>
          <w:rFonts w:hint="eastAsia" w:ascii="仿宋" w:hAnsi="仿宋" w:eastAsia="仿宋" w:cs="Times New Roman"/>
          <w:sz w:val="24"/>
          <w:szCs w:val="24"/>
          <w:lang w:val="zh-CN"/>
        </w:rPr>
        <w:t>2、</w:t>
      </w:r>
      <w:r>
        <w:rPr>
          <w:rFonts w:hint="eastAsia" w:ascii="仿宋" w:hAnsi="仿宋" w:eastAsia="仿宋" w:cs="仿宋"/>
          <w:sz w:val="24"/>
          <w:szCs w:val="24"/>
        </w:rPr>
        <w:t>钢筋</w:t>
      </w:r>
      <w:r>
        <w:rPr>
          <w:rFonts w:hint="eastAsia" w:ascii="仿宋" w:hAnsi="仿宋" w:eastAsia="仿宋" w:cs="仿宋"/>
          <w:bCs/>
          <w:sz w:val="24"/>
          <w:szCs w:val="24"/>
          <w:lang w:val="zh-CN"/>
        </w:rPr>
        <w:t>的现场数量验收应由乙方所派的指定人员、</w:t>
      </w:r>
      <w:r>
        <w:rPr>
          <w:rFonts w:hint="eastAsia" w:ascii="仿宋" w:hAnsi="仿宋" w:eastAsia="仿宋" w:cs="仿宋"/>
          <w:bCs/>
          <w:sz w:val="24"/>
          <w:szCs w:val="24"/>
        </w:rPr>
        <w:t>甲方的专职材料员、驻场监理</w:t>
      </w:r>
      <w:r>
        <w:rPr>
          <w:rFonts w:hint="eastAsia" w:ascii="仿宋" w:hAnsi="仿宋" w:eastAsia="仿宋" w:cs="仿宋"/>
          <w:bCs/>
          <w:sz w:val="24"/>
          <w:szCs w:val="24"/>
          <w:lang w:val="zh-CN"/>
        </w:rPr>
        <w:t>共同参与。验收时，验收人员应仔细核对数量；验收</w:t>
      </w:r>
      <w:r>
        <w:rPr>
          <w:rFonts w:hint="eastAsia" w:ascii="仿宋" w:hAnsi="仿宋" w:eastAsia="仿宋" w:cs="仿宋"/>
          <w:bCs/>
          <w:sz w:val="24"/>
          <w:szCs w:val="24"/>
        </w:rPr>
        <w:t>合格</w:t>
      </w:r>
      <w:r>
        <w:rPr>
          <w:rFonts w:hint="eastAsia" w:ascii="仿宋" w:hAnsi="仿宋" w:eastAsia="仿宋" w:cs="仿宋"/>
          <w:bCs/>
          <w:sz w:val="24"/>
          <w:szCs w:val="24"/>
          <w:lang w:val="zh-CN"/>
        </w:rPr>
        <w:t>后由验收人员在确认单上签名</w:t>
      </w:r>
      <w:r>
        <w:rPr>
          <w:rFonts w:hint="eastAsia" w:ascii="仿宋" w:hAnsi="仿宋" w:eastAsia="仿宋" w:cs="仿宋"/>
          <w:bCs/>
          <w:sz w:val="24"/>
          <w:szCs w:val="24"/>
        </w:rPr>
        <w:t>并盖项目部材料专用印章</w:t>
      </w:r>
      <w:r>
        <w:rPr>
          <w:rFonts w:hint="eastAsia" w:ascii="仿宋" w:hAnsi="仿宋" w:eastAsia="仿宋" w:cs="仿宋"/>
          <w:bCs/>
          <w:sz w:val="24"/>
          <w:szCs w:val="24"/>
          <w:lang w:val="zh-CN"/>
        </w:rPr>
        <w:t>确认；</w:t>
      </w:r>
    </w:p>
    <w:p w14:paraId="3FCC2830">
      <w:pPr>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仿宋"/>
          <w:bCs/>
          <w:sz w:val="24"/>
          <w:szCs w:val="24"/>
        </w:rPr>
        <w:t>3、</w:t>
      </w:r>
      <w:r>
        <w:rPr>
          <w:rFonts w:hint="eastAsia" w:ascii="仿宋" w:hAnsi="仿宋" w:eastAsia="仿宋" w:cs="Times New Roman"/>
          <w:sz w:val="24"/>
          <w:szCs w:val="24"/>
        </w:rPr>
        <w:t>甲方指定收货人：</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，身份证号：</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 xml:space="preserve"> ，联系电话：</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；（收货人人数按项目情况确定）甲方收货联系人仅有权对乙方送货单中的数量予以确认，无权对货物价款以及最终结算单进行确认。</w:t>
      </w:r>
    </w:p>
    <w:p w14:paraId="7C57F878">
      <w:pPr>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乙方发货联系人：</w:t>
      </w:r>
      <w:r>
        <w:rPr>
          <w:rFonts w:hint="eastAsia" w:ascii="仿宋" w:hAnsi="仿宋" w:eastAsia="仿宋" w:cs="宋体"/>
          <w:bCs/>
          <w:sz w:val="24"/>
          <w:szCs w:val="20"/>
          <w:lang w:val="en-US" w:eastAsia="zh-CN"/>
        </w:rPr>
        <w:t xml:space="preserve">    </w:t>
      </w:r>
      <w:r>
        <w:rPr>
          <w:rFonts w:hint="eastAsia" w:ascii="仿宋" w:hAnsi="仿宋" w:eastAsia="仿宋" w:cs="Times New Roman"/>
          <w:sz w:val="24"/>
          <w:szCs w:val="24"/>
        </w:rPr>
        <w:t>，身份证号：</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，联系电话：</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；乙方须将货物运至交货地点交甲方联系人签收确认方为有效。非本合同约定甲方联系人签收的送货单，视为甲方未收到相应货物，对甲方不具有效力。</w:t>
      </w:r>
    </w:p>
    <w:p w14:paraId="6ECC01B5">
      <w:pPr>
        <w:widowControl w:val="0"/>
        <w:spacing w:after="0" w:afterLines="0" w:afterAutospacing="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仿宋"/>
          <w:bCs/>
          <w:kern w:val="2"/>
          <w:sz w:val="24"/>
          <w:szCs w:val="24"/>
          <w:lang w:val="en-US" w:eastAsia="zh-CN" w:bidi="ar-SA"/>
        </w:rPr>
        <w:t>甲乙双方各自委派的材料验收人员，双方应以公函形式通知对方，如果一方验收人员发生变更时，双方应及时用公函形式通知对方作相应的更改，甲方验收人员发生变更的，乙方应要求提供变更公函，否则甲方可不予认可非指定委派人员签字确认的单据。</w:t>
      </w:r>
    </w:p>
    <w:p w14:paraId="12EB32AB">
      <w:pPr>
        <w:widowControl w:val="0"/>
        <w:spacing w:after="0" w:afterLines="0" w:afterAutospacing="0" w:line="360" w:lineRule="auto"/>
        <w:ind w:firstLine="480" w:firstLineChars="200"/>
        <w:jc w:val="both"/>
        <w:rPr>
          <w:rFonts w:hint="eastAsia" w:ascii="仿宋" w:hAnsi="仿宋" w:eastAsia="仿宋" w:cs="Times New Roman"/>
          <w:kern w:val="2"/>
          <w:sz w:val="24"/>
          <w:szCs w:val="24"/>
          <w:lang w:val="zh-CN" w:eastAsia="zh-CN" w:bidi="ar-SA"/>
        </w:rPr>
      </w:pPr>
      <w:r>
        <w:rPr>
          <w:rFonts w:hint="eastAsia" w:ascii="仿宋" w:hAnsi="仿宋" w:eastAsia="仿宋" w:cs="Times New Roman"/>
          <w:kern w:val="2"/>
          <w:sz w:val="24"/>
          <w:szCs w:val="24"/>
          <w:lang w:val="en-US" w:eastAsia="zh-CN" w:bidi="ar-SA"/>
        </w:rPr>
        <w:t>4、</w:t>
      </w:r>
      <w:r>
        <w:rPr>
          <w:rFonts w:hint="eastAsia" w:ascii="仿宋" w:hAnsi="仿宋" w:eastAsia="仿宋" w:cs="仿宋"/>
          <w:spacing w:val="-6"/>
          <w:kern w:val="2"/>
          <w:sz w:val="24"/>
          <w:szCs w:val="24"/>
          <w:lang w:val="en-US" w:eastAsia="zh-CN" w:bidi="ar-SA"/>
        </w:rPr>
        <w:t>在交付验收时，必须经过项目部验收合格，对不合格的</w:t>
      </w:r>
      <w:r>
        <w:rPr>
          <w:rFonts w:hint="eastAsia" w:ascii="仿宋" w:hAnsi="仿宋" w:eastAsia="仿宋" w:cs="仿宋"/>
          <w:kern w:val="2"/>
          <w:sz w:val="24"/>
          <w:szCs w:val="24"/>
          <w:lang w:val="en-US" w:eastAsia="zh-CN" w:bidi="ar-SA"/>
        </w:rPr>
        <w:t>钢筋</w:t>
      </w:r>
      <w:r>
        <w:rPr>
          <w:rFonts w:hint="eastAsia" w:ascii="仿宋" w:hAnsi="仿宋" w:eastAsia="仿宋" w:cs="仿宋"/>
          <w:spacing w:val="-6"/>
          <w:kern w:val="2"/>
          <w:sz w:val="24"/>
          <w:szCs w:val="24"/>
          <w:lang w:val="en-US" w:eastAsia="zh-CN" w:bidi="ar-SA"/>
        </w:rPr>
        <w:t>乙方应无条件进行更换，否则甲方有权不予验收，由此造成的返工费用由乙方自行承担</w:t>
      </w:r>
      <w:r>
        <w:rPr>
          <w:rFonts w:hint="eastAsia" w:ascii="仿宋" w:hAnsi="仿宋" w:eastAsia="仿宋" w:cs="Times New Roman"/>
          <w:kern w:val="2"/>
          <w:sz w:val="24"/>
          <w:szCs w:val="24"/>
          <w:lang w:val="zh-CN" w:eastAsia="zh-CN" w:bidi="ar-SA"/>
        </w:rPr>
        <w:t>；</w:t>
      </w:r>
    </w:p>
    <w:p w14:paraId="7EC2775E">
      <w:pPr>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5</w:t>
      </w:r>
      <w:r>
        <w:rPr>
          <w:rFonts w:hint="eastAsia" w:ascii="仿宋" w:hAnsi="仿宋" w:eastAsia="仿宋" w:cs="Times New Roman"/>
          <w:sz w:val="24"/>
          <w:szCs w:val="24"/>
          <w:lang w:val="zh-CN"/>
        </w:rPr>
        <w:t>、钢筋</w:t>
      </w:r>
      <w:r>
        <w:rPr>
          <w:rFonts w:hint="eastAsia" w:ascii="仿宋" w:hAnsi="仿宋" w:eastAsia="仿宋" w:cs="Times New Roman"/>
          <w:sz w:val="24"/>
          <w:szCs w:val="24"/>
        </w:rPr>
        <w:t>进场后，甲方按有关规范抽检，检验费用由</w:t>
      </w:r>
      <w:r>
        <w:rPr>
          <w:rFonts w:hint="eastAsia" w:ascii="仿宋" w:hAnsi="仿宋" w:eastAsia="仿宋" w:cs="Times New Roman"/>
          <w:sz w:val="24"/>
          <w:szCs w:val="24"/>
          <w:lang w:val="zh-CN"/>
        </w:rPr>
        <w:t>甲方</w:t>
      </w:r>
      <w:r>
        <w:rPr>
          <w:rFonts w:hint="eastAsia" w:ascii="仿宋" w:hAnsi="仿宋" w:eastAsia="仿宋" w:cs="Times New Roman"/>
          <w:sz w:val="24"/>
          <w:szCs w:val="24"/>
        </w:rPr>
        <w:t>负责。</w:t>
      </w:r>
      <w:r>
        <w:rPr>
          <w:rFonts w:hint="eastAsia" w:ascii="仿宋" w:hAnsi="仿宋" w:eastAsia="仿宋" w:cs="Times New Roman"/>
          <w:sz w:val="24"/>
          <w:szCs w:val="24"/>
          <w:lang w:val="zh-CN"/>
        </w:rPr>
        <w:t>甲方</w:t>
      </w:r>
      <w:r>
        <w:rPr>
          <w:rFonts w:hint="eastAsia" w:ascii="仿宋" w:hAnsi="仿宋" w:eastAsia="仿宋" w:cs="Times New Roman"/>
          <w:sz w:val="24"/>
          <w:szCs w:val="24"/>
        </w:rPr>
        <w:t>如</w:t>
      </w:r>
      <w:r>
        <w:rPr>
          <w:rFonts w:hint="eastAsia" w:ascii="仿宋" w:hAnsi="仿宋" w:eastAsia="仿宋" w:cs="Times New Roman"/>
          <w:sz w:val="24"/>
          <w:szCs w:val="24"/>
          <w:lang w:val="zh-CN"/>
        </w:rPr>
        <w:t>对材料质量有异议，应以</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lang w:val="zh-CN"/>
        </w:rPr>
        <w:t>质量监测站</w:t>
      </w:r>
      <w:r>
        <w:rPr>
          <w:rFonts w:hint="eastAsia" w:ascii="仿宋" w:hAnsi="仿宋" w:eastAsia="仿宋" w:cs="Times New Roman"/>
          <w:sz w:val="24"/>
          <w:szCs w:val="24"/>
        </w:rPr>
        <w:t>的报告为最终结果</w:t>
      </w:r>
      <w:r>
        <w:rPr>
          <w:rFonts w:hint="eastAsia" w:ascii="仿宋" w:hAnsi="仿宋" w:eastAsia="仿宋" w:cs="Times New Roman"/>
          <w:sz w:val="24"/>
          <w:szCs w:val="24"/>
          <w:lang w:val="zh-CN"/>
        </w:rPr>
        <w:t>，如属质量不合格</w:t>
      </w:r>
      <w:r>
        <w:rPr>
          <w:rFonts w:hint="eastAsia" w:ascii="仿宋" w:hAnsi="仿宋" w:eastAsia="仿宋" w:cs="Times New Roman"/>
          <w:sz w:val="24"/>
          <w:szCs w:val="24"/>
        </w:rPr>
        <w:t>，乙方应承担检测费，并将不合格材料清运走；</w:t>
      </w:r>
    </w:p>
    <w:p w14:paraId="6AA51739">
      <w:pPr>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6、钢筋的数量确认采用过磅方式，双方共同签认到货数量。</w:t>
      </w:r>
    </w:p>
    <w:p w14:paraId="28CC9ACC">
      <w:pPr>
        <w:spacing w:line="360" w:lineRule="auto"/>
        <w:ind w:firstLine="482" w:firstLineChars="200"/>
        <w:rPr>
          <w:rFonts w:ascii="Times New Roman" w:hAnsi="Times New Roman" w:eastAsia="仿宋" w:cs="Times New Roman"/>
          <w:sz w:val="24"/>
          <w:szCs w:val="24"/>
          <w:u w:val="single"/>
        </w:rPr>
      </w:pPr>
      <w:r>
        <w:rPr>
          <w:rFonts w:hint="eastAsia" w:ascii="仿宋" w:hAnsi="仿宋" w:eastAsia="仿宋" w:cs="Times New Roman"/>
          <w:b/>
          <w:bCs/>
          <w:sz w:val="24"/>
          <w:szCs w:val="24"/>
        </w:rPr>
        <w:t xml:space="preserve">第四条  计量与支付 </w:t>
      </w:r>
    </w:p>
    <w:p w14:paraId="628A1B3B">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根据本合同第二条第2款确定的供货模式，双方结算前，对双方签收确认的送货单进行对账，核实并确认每期结算数量后进行结算；每笔材料对账根据甲乙双方材料验收人员签字的单据进行汇总，对账汇总表由甲乙双方加盖公章（或项目公章）及签名确认。甲方签名确认为项目经理，非上述人员签字盖章的，甲方不予认可。最终结算以双方签名加盖公章的汇总表为准。</w:t>
      </w:r>
    </w:p>
    <w:p w14:paraId="31D50309">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2、结算期的确定：</w:t>
      </w:r>
    </w:p>
    <w:p w14:paraId="0C4A74BE">
      <w:pPr>
        <w:widowControl w:val="0"/>
        <w:spacing w:after="0" w:afterLines="0" w:afterAutospacing="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color w:val="000000"/>
          <w:kern w:val="2"/>
          <w:sz w:val="24"/>
          <w:szCs w:val="24"/>
          <w:lang w:val="en-US" w:eastAsia="zh-CN" w:bidi="ar-SA"/>
        </w:rPr>
        <w:t>（1）</w:t>
      </w:r>
      <w:r>
        <w:rPr>
          <w:rFonts w:hint="eastAsia" w:ascii="仿宋" w:hAnsi="仿宋" w:eastAsia="仿宋" w:cs="Times New Roman"/>
          <w:kern w:val="2"/>
          <w:sz w:val="24"/>
          <w:szCs w:val="24"/>
          <w:lang w:val="en-US" w:eastAsia="zh-CN" w:bidi="ar-SA"/>
        </w:rPr>
        <w:t>在甲方通知下单的每批次材料供货完成及材料检验合格后，七天内，由甲方支付材料货款的</w:t>
      </w:r>
      <w:r>
        <w:rPr>
          <w:rFonts w:hint="eastAsia" w:ascii="仿宋" w:hAnsi="仿宋" w:eastAsia="仿宋" w:cs="Times New Roman"/>
          <w:kern w:val="2"/>
          <w:sz w:val="24"/>
          <w:szCs w:val="24"/>
          <w:u w:val="single"/>
          <w:lang w:val="en-US" w:eastAsia="zh-CN" w:bidi="ar-SA"/>
        </w:rPr>
        <w:t xml:space="preserve">    </w:t>
      </w:r>
      <w:r>
        <w:rPr>
          <w:rFonts w:hint="eastAsia" w:ascii="仿宋" w:hAnsi="仿宋" w:eastAsia="仿宋" w:cs="Times New Roman"/>
          <w:kern w:val="2"/>
          <w:sz w:val="24"/>
          <w:szCs w:val="24"/>
          <w:lang w:val="en-US" w:eastAsia="zh-CN" w:bidi="ar-SA"/>
        </w:rPr>
        <w:t>%。</w:t>
      </w:r>
    </w:p>
    <w:p w14:paraId="5B1706EC">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3、款项支付：</w:t>
      </w:r>
    </w:p>
    <w:p w14:paraId="51166667">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（1）无论本合同其他条款约定的甲方向乙方支付货款的期限是否届满，甲方在收到业主支付的备料款（或工程款）前无义务向乙方垫付相应部分货款；</w:t>
      </w:r>
    </w:p>
    <w:p w14:paraId="032566FB">
      <w:pPr>
        <w:spacing w:line="360" w:lineRule="auto"/>
        <w:ind w:firstLine="480" w:firstLineChars="200"/>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（2）本合同涉及的所有计量支付均由甲方支付到乙方在合同约定的银行账户，无特殊情况下，甲方不接受乙方提供的任何第三方收款银行账户或委托收款；</w:t>
      </w:r>
    </w:p>
    <w:p w14:paraId="4706CEA1">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color w:val="000000"/>
          <w:sz w:val="24"/>
          <w:szCs w:val="24"/>
        </w:rPr>
        <w:t>（3）</w:t>
      </w:r>
      <w:r>
        <w:rPr>
          <w:rFonts w:hint="eastAsia" w:ascii="仿宋" w:hAnsi="仿宋" w:eastAsia="仿宋" w:cs="Times New Roman"/>
          <w:sz w:val="24"/>
          <w:szCs w:val="24"/>
        </w:rPr>
        <w:t>乙方同意甲方根据管理需要选择银行转账、支票或供应链金融等方式支付计量款项。</w:t>
      </w:r>
    </w:p>
    <w:p w14:paraId="2BEBC147">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本合同价的</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%款项支付将选择供应链金融支付方式，乙方应根据该支付方式建立有效支付通道（包括但不限于在甲方指定银行开立结算账户、出具供应链金融有关文书等），甲方承担该支付方式产生的利息费用。</w:t>
      </w:r>
    </w:p>
    <w:p w14:paraId="2D7ADD89">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4、乙方至少应有</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万元以上的垫付能力，以确保甲方资金周转困难时，乙方能保证钢筋的正常供应；</w:t>
      </w:r>
    </w:p>
    <w:p w14:paraId="2A701B0C">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5、材料数量以过磅方式进行确认，若换以方量进行结算时，按</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的标准转换。</w:t>
      </w:r>
    </w:p>
    <w:p w14:paraId="0692B826">
      <w:pPr>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rPr>
        <w:t>6、发票的提供</w:t>
      </w:r>
    </w:p>
    <w:p w14:paraId="6A566F53">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（一）乙方应在每期结算确认后，在甲方资金支付前，根据合同内容和结算书内容向甲方出具相应</w:t>
      </w:r>
      <w:r>
        <w:rPr>
          <w:rFonts w:hint="eastAsia" w:ascii="仿宋" w:hAnsi="仿宋" w:eastAsia="仿宋" w:cs="Times New Roman"/>
          <w:bCs/>
          <w:sz w:val="24"/>
          <w:szCs w:val="24"/>
        </w:rPr>
        <w:t>增值税发票</w:t>
      </w:r>
      <w:r>
        <w:rPr>
          <w:rFonts w:hint="eastAsia" w:ascii="仿宋" w:hAnsi="仿宋" w:eastAsia="仿宋" w:cs="Times New Roman"/>
          <w:sz w:val="24"/>
          <w:szCs w:val="24"/>
        </w:rPr>
        <w:t>。以上条件不满足时，乙方不得向甲方申请支付款项，甲方有权暂停支付材料款项且由乙方自身承担资金风险。</w:t>
      </w:r>
    </w:p>
    <w:p w14:paraId="36715517">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（二）乙方出具发票需同时满足以下原则：</w:t>
      </w:r>
    </w:p>
    <w:p w14:paraId="6E59BE1C">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（1）发票金额</w:t>
      </w:r>
    </w:p>
    <w:p w14:paraId="4AA49328">
      <w:pPr>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rPr>
        <w:t>乙方向甲方开具发票的金额需严格依据“累计确认结算量与资金支付量孰高原则”。</w:t>
      </w:r>
    </w:p>
    <w:p w14:paraId="271F1FE3">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（2）票面信息</w:t>
      </w:r>
    </w:p>
    <w:p w14:paraId="381E1F1C">
      <w:pPr>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rPr>
        <w:t>发票票面记载信息需符合“三流一致”原则，包括：①销售方信息需与货物提供单位（即乙方）一致，并与实际收款人（即乙方）一致；②货物名称等需与实际业务内容一致。③税率、税额信息与本合同单列的增值税税率、税额一致。④发票类别（增值税专用发票或普通发票）与本项目的计税方法（一般计税方法或简易计税方法）匹配。</w:t>
      </w:r>
    </w:p>
    <w:p w14:paraId="1754E6FA">
      <w:pPr>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rPr>
        <w:t>7、发票提供的责任</w:t>
      </w:r>
    </w:p>
    <w:p w14:paraId="5E394CA6">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利益受损的，全部损失由乙方承担。</w:t>
      </w:r>
    </w:p>
    <w:p w14:paraId="43161590">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7E5DC26E">
      <w:pPr>
        <w:spacing w:line="360" w:lineRule="auto"/>
        <w:ind w:firstLine="482" w:firstLineChars="200"/>
        <w:rPr>
          <w:rFonts w:hint="eastAsia" w:ascii="仿宋" w:hAnsi="仿宋" w:eastAsia="仿宋" w:cs="Times New Roman"/>
          <w:b/>
          <w:bCs/>
          <w:sz w:val="24"/>
          <w:szCs w:val="24"/>
        </w:rPr>
      </w:pPr>
      <w:r>
        <w:rPr>
          <w:rFonts w:hint="eastAsia" w:ascii="仿宋" w:hAnsi="仿宋" w:eastAsia="仿宋" w:cs="Times New Roman"/>
          <w:b/>
          <w:bCs/>
          <w:sz w:val="24"/>
          <w:szCs w:val="24"/>
        </w:rPr>
        <w:t>第五条  材料质量</w:t>
      </w:r>
    </w:p>
    <w:p w14:paraId="117CC67C">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1、乙方供应的各种规格钢筋必须保证质量，各项指标应符合本项目设计和施工规范要求，经甲方试验室验收合格后才能允许施工使用。</w:t>
      </w:r>
    </w:p>
    <w:p w14:paraId="0D2010A2">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2、钢筋的质量要求：</w:t>
      </w:r>
    </w:p>
    <w:p w14:paraId="7E870D7D">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（1）进场钢筋材料必须符合 GB1499.1-2017、GB1499.2-2018等国家标准。</w:t>
      </w:r>
    </w:p>
    <w:p w14:paraId="3C46894C">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（2）进场钢筋材料应具有材证相符且有效的产品合格证、出厂检验报告。</w:t>
      </w:r>
    </w:p>
    <w:p w14:paraId="52D486B1">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（3）进场钢筋材料外观检查：钢筋应无有害的表面缺陷，钢筋表面不得有裂纹、油污、颗粒状或片状老锈。</w:t>
      </w:r>
    </w:p>
    <w:p w14:paraId="361D52E7">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3、如果给甲方、业主、监理或质检站等监督、管理单位发现材料不符合设计或规范要求，乙方必须无条件自费将不合格材料清理出场。</w:t>
      </w:r>
    </w:p>
    <w:p w14:paraId="71D7520B">
      <w:pPr>
        <w:spacing w:line="360" w:lineRule="auto"/>
        <w:ind w:firstLine="482" w:firstLineChars="200"/>
        <w:rPr>
          <w:rFonts w:hint="eastAsia" w:ascii="仿宋" w:hAnsi="仿宋" w:eastAsia="仿宋" w:cs="Times New Roman"/>
          <w:b/>
          <w:bCs/>
          <w:sz w:val="24"/>
          <w:szCs w:val="24"/>
        </w:rPr>
      </w:pPr>
      <w:r>
        <w:rPr>
          <w:rFonts w:hint="eastAsia" w:ascii="仿宋" w:hAnsi="仿宋" w:eastAsia="仿宋" w:cs="Times New Roman"/>
          <w:b/>
          <w:bCs/>
          <w:sz w:val="24"/>
          <w:szCs w:val="24"/>
        </w:rPr>
        <w:t>第六条  双方责任</w:t>
      </w:r>
    </w:p>
    <w:p w14:paraId="54782D9C">
      <w:pPr>
        <w:spacing w:line="360" w:lineRule="auto"/>
        <w:ind w:firstLine="482" w:firstLineChars="200"/>
        <w:rPr>
          <w:rFonts w:hint="eastAsia" w:ascii="仿宋" w:hAnsi="仿宋" w:eastAsia="仿宋" w:cs="Times New Roman"/>
          <w:b/>
          <w:bCs/>
          <w:sz w:val="24"/>
          <w:szCs w:val="24"/>
        </w:rPr>
      </w:pPr>
      <w:r>
        <w:rPr>
          <w:rFonts w:hint="eastAsia" w:ascii="仿宋" w:hAnsi="仿宋" w:eastAsia="仿宋" w:cs="Times New Roman"/>
          <w:b/>
          <w:sz w:val="24"/>
          <w:szCs w:val="24"/>
        </w:rPr>
        <w:t>（一）甲方责任</w:t>
      </w:r>
    </w:p>
    <w:p w14:paraId="224C5704">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1、甲方负责本合同第二条约定供货模式下甲方应负的责任；</w:t>
      </w:r>
    </w:p>
    <w:p w14:paraId="2DE3675F">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2、甲方按设计及施工要求向乙方提供所需材料的规格、数量和用料计划；</w:t>
      </w:r>
    </w:p>
    <w:p w14:paraId="2CB0F56D">
      <w:pPr>
        <w:tabs>
          <w:tab w:val="left" w:pos="1873"/>
        </w:tabs>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3、甲方负责对钢筋质量进行抽检，并做好使用前的试验工作，以确保其符合本项目设计和施工规范要求；</w:t>
      </w:r>
    </w:p>
    <w:p w14:paraId="7EA63560">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4、当乙方供应的材料质量不符合要求，或材料产量、运输供应不能满足甲方施工进度需求时，甲方将有权做出如下决定，乙方对此不得存在异议：</w:t>
      </w:r>
    </w:p>
    <w:p w14:paraId="1DCB8CEC">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（1）对已进备料场的不合格材料清理出场，其处理费用由乙方负责；</w:t>
      </w:r>
    </w:p>
    <w:p w14:paraId="7A4E1E28">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（2）甲方重新外购钢筋以保证施工进度的需要，外购部分的到场单价高出乙方供应综合单价部分，从乙方钢筋款中扣出以补偿甲方；</w:t>
      </w:r>
    </w:p>
    <w:p w14:paraId="4FF27413">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若经甲、乙双方采取措施后，仍无法满足合同要求时,则甲方有权以书面形式通知乙方终止部分或全部合同，乙方必须遵照执行。对甲方造成的损失，甲方保留向乙方索赔的权利。合同违约终止所产生的未结算货物，除不合格品由乙方负责清理出场外，合格材料的结算，由双方另立补充协议予以完善。</w:t>
      </w:r>
    </w:p>
    <w:p w14:paraId="1A62EFD5">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5、随时按向乙方提供的备料计划和供料计划检查乙方的执行情况，如乙方未能完成合同规定和甲方要求，甲方有权责成乙方即时整改或终止合同；</w:t>
      </w:r>
    </w:p>
    <w:p w14:paraId="2650A636">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6、如乙方不能按甲方要求履行此合同义务时，甲方有权选用备用供应商完成该项目钢筋供应的，乙方不得阻挠；</w:t>
      </w:r>
    </w:p>
    <w:p w14:paraId="6EE1BEF5">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7、按合同要求进行对帐、确认数量、支付材料款；</w:t>
      </w:r>
    </w:p>
    <w:p w14:paraId="5D8CE91C">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 xml:space="preserve">8、甲方提供钢筋的囤放场地，每一规格钢筋料不少于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t囤放地（不同规格料必须分隔）。</w:t>
      </w:r>
    </w:p>
    <w:p w14:paraId="1503B906">
      <w:pPr>
        <w:spacing w:line="360" w:lineRule="auto"/>
        <w:ind w:firstLine="482" w:firstLineChars="200"/>
        <w:rPr>
          <w:rFonts w:hint="eastAsia" w:ascii="仿宋" w:hAnsi="仿宋" w:eastAsia="仿宋" w:cs="Times New Roman"/>
          <w:b/>
          <w:sz w:val="24"/>
          <w:szCs w:val="24"/>
        </w:rPr>
      </w:pPr>
      <w:r>
        <w:rPr>
          <w:rFonts w:hint="eastAsia" w:ascii="仿宋" w:hAnsi="仿宋" w:eastAsia="仿宋" w:cs="Times New Roman"/>
          <w:b/>
          <w:sz w:val="24"/>
          <w:szCs w:val="24"/>
        </w:rPr>
        <w:t>（二）乙方责任</w:t>
      </w:r>
    </w:p>
    <w:p w14:paraId="3CD95254">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1、按照甲方提出的供料计划进行各种规格材料的供应，以满足甲方施工的用料需求；</w:t>
      </w:r>
    </w:p>
    <w:p w14:paraId="58C74BEF">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2、严格按钢筋料的质量要求和施工要求确保材料的质量，备料数量符合甲方计划要求，确保并满足甲方施工需要；</w:t>
      </w:r>
    </w:p>
    <w:p w14:paraId="46889745">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3、接受项目监理工程师和甲方质检人员对材料质量的监督与检查，保证材料质量满足规范要求，不合格材料不得进入甲方的备料场；</w:t>
      </w:r>
    </w:p>
    <w:p w14:paraId="2B90364A">
      <w:pPr>
        <w:spacing w:line="360" w:lineRule="auto"/>
        <w:ind w:firstLine="480" w:firstLineChars="200"/>
        <w:rPr>
          <w:rFonts w:hint="eastAsia" w:ascii="仿宋" w:hAnsi="仿宋" w:eastAsia="仿宋" w:cs="Times New Roman"/>
          <w:color w:val="0000FF"/>
          <w:sz w:val="24"/>
          <w:szCs w:val="24"/>
        </w:rPr>
      </w:pPr>
      <w:r>
        <w:rPr>
          <w:rFonts w:hint="eastAsia" w:ascii="仿宋" w:hAnsi="仿宋" w:eastAsia="仿宋" w:cs="Times New Roman"/>
          <w:sz w:val="24"/>
          <w:szCs w:val="24"/>
        </w:rPr>
        <w:t>4、乙方要采取有效措施确保生产、运输安全，乙方在生产过程中发生的任何安全伤亡事故，由乙方自己负责，甲方不承担任何责任；</w:t>
      </w:r>
    </w:p>
    <w:p w14:paraId="697C669C">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5、乙方提供的钢筋料须明确来源，一般情况下不允许私自更改钢筋料产地，若在特殊情况下需要更改产地的，必须提前告知甲方，经同意后再行更改；</w:t>
      </w:r>
    </w:p>
    <w:p w14:paraId="7CF454F5">
      <w:pPr>
        <w:widowControl w:val="0"/>
        <w:spacing w:after="0" w:afterLines="0" w:afterAutospacing="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zh-CN" w:eastAsia="zh-CN" w:bidi="ar-SA"/>
        </w:rPr>
        <w:t>6、乙方保证本合同所供的货物是合同所规定的品牌，全新的、未使用过的，全部货物没有设计、材料或工艺上的缺陷。乙方保证本合同所交付的货物免受第三方主张任何权利的义务，否则给甲方造成的损失和产生的费用及相关法律责任由乙方负责赔偿和承担。</w:t>
      </w:r>
    </w:p>
    <w:p w14:paraId="497403BD">
      <w:pPr>
        <w:spacing w:line="360" w:lineRule="auto"/>
        <w:ind w:firstLine="482" w:firstLineChars="200"/>
        <w:rPr>
          <w:rFonts w:hint="eastAsia" w:ascii="仿宋" w:hAnsi="仿宋" w:eastAsia="仿宋" w:cs="Times New Roman"/>
          <w:b/>
          <w:bCs/>
          <w:sz w:val="24"/>
          <w:szCs w:val="24"/>
        </w:rPr>
      </w:pPr>
      <w:r>
        <w:rPr>
          <w:rFonts w:hint="eastAsia" w:ascii="仿宋" w:hAnsi="仿宋" w:eastAsia="仿宋" w:cs="Times New Roman"/>
          <w:b/>
          <w:bCs/>
          <w:sz w:val="24"/>
          <w:szCs w:val="24"/>
        </w:rPr>
        <w:t>第七条  违约责任</w:t>
      </w:r>
    </w:p>
    <w:p w14:paraId="04E06C61">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1、在施工过程中，乙方不能按钢筋质量要求或项目设计要求供应钢筋，视为乙方违约，每违约一次需支付违约金</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元；累计三次的甲方有权终止合同且不免除乙方的违约责任；</w:t>
      </w:r>
    </w:p>
    <w:p w14:paraId="16DB7183">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2、乙方收到甲方提供的备料清单后，甲乙双方约定材料到场日期，如乙方未如约供货时，甲方按每违约</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rPr>
        <w:t>次(一天以外)在最终结算金额中罚款</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万元，累计三次，甲方有权终止合同；</w:t>
      </w:r>
    </w:p>
    <w:p w14:paraId="6A53A772">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合同签订后，甲方有权根据工程的施工情况和乙方材料供应的情况调整乙方的供应任务，但未经双方协商同意，任何一方不得擅自解除合同。如乙方未经甲方同意，单方解除合同时，或未能按时、合理地组织材料的供应，影响工程的进度或质量，或无正当理由，不履行合同规定的义务或屡不服从甲方的指挥，</w:t>
      </w:r>
      <w:r>
        <w:rPr>
          <w:rFonts w:ascii="仿宋" w:hAnsi="仿宋" w:eastAsia="仿宋" w:cs="Times New Roman"/>
          <w:sz w:val="24"/>
          <w:szCs w:val="24"/>
        </w:rPr>
        <w:t>甲方</w:t>
      </w:r>
      <w:r>
        <w:rPr>
          <w:rFonts w:hint="eastAsia" w:ascii="仿宋" w:hAnsi="仿宋" w:eastAsia="仿宋" w:cs="Times New Roman"/>
          <w:sz w:val="24"/>
          <w:szCs w:val="24"/>
        </w:rPr>
        <w:t>有权解除合同，且有权不予支付剩余比例的材料款，乙方必须按甲方要求退场且承担对甲方造成的所有损失，包括但不限于停工、窝工、返工等（除不可抗力外）；</w:t>
      </w:r>
    </w:p>
    <w:p w14:paraId="48B0B42B">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4、未经甲方书面同意，乙方不得进行任何形式的将本合同约定的义务交由第三人履行，否则视为违约，甲方有权终止合同并要求乙方赔偿因此对甲方造成的损失。</w:t>
      </w:r>
    </w:p>
    <w:p w14:paraId="01557600">
      <w:pPr>
        <w:widowControl w:val="0"/>
        <w:spacing w:after="0" w:afterLines="0" w:afterAutospacing="0" w:line="360" w:lineRule="auto"/>
        <w:ind w:firstLine="480" w:firstLineChars="200"/>
        <w:jc w:val="both"/>
        <w:rPr>
          <w:rFonts w:ascii="Times New Roman" w:hAnsi="Times New Roman"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5、乙方因本合同产生的包括但不限于给甲方造成的损失、违约金、处罚款等款项，甲方有权在应付款项中优先扣减，仍不能弥补甲方损失的，甲方有权向乙方进行追偿。</w:t>
      </w:r>
    </w:p>
    <w:p w14:paraId="1F28A1EF">
      <w:pPr>
        <w:spacing w:line="360" w:lineRule="auto"/>
        <w:ind w:firstLine="482" w:firstLineChars="200"/>
        <w:rPr>
          <w:rFonts w:hint="eastAsia" w:ascii="仿宋" w:hAnsi="仿宋" w:eastAsia="仿宋" w:cs="Times New Roman"/>
          <w:b/>
          <w:bCs/>
          <w:sz w:val="24"/>
          <w:szCs w:val="24"/>
        </w:rPr>
      </w:pPr>
      <w:r>
        <w:rPr>
          <w:rFonts w:hint="eastAsia" w:ascii="仿宋" w:hAnsi="仿宋" w:eastAsia="仿宋" w:cs="Times New Roman"/>
          <w:b/>
          <w:bCs/>
          <w:sz w:val="24"/>
          <w:szCs w:val="24"/>
        </w:rPr>
        <w:t>第八条 其他</w:t>
      </w:r>
    </w:p>
    <w:p w14:paraId="7BD56897">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w:t>
      </w:r>
      <w:r>
        <w:rPr>
          <w:rFonts w:hint="eastAsia" w:ascii="仿宋" w:hAnsi="仿宋" w:eastAsia="仿宋" w:cs="仿宋"/>
          <w:bCs/>
          <w:kern w:val="0"/>
          <w:sz w:val="24"/>
          <w:szCs w:val="24"/>
        </w:rPr>
        <w:t>甲方不允许项目部人员擅自变更本合同以及以甲方或甲方项目部名义对外借款等。甲方与乙方之间签订的任何合同、协议、补充合同、承诺书、确认单等均以甲方委派项目经理签字并加盖公司公章或公司合同专用章确认（除送货单、对账单、结算单允许盖项目部公章外），除此之外，加盖任何项目部印章、技术资料专用章、项目部财务章或项目部人员签名均对甲方不具有效力。乙方应谨慎</w:t>
      </w:r>
      <w:r>
        <w:rPr>
          <w:rFonts w:hint="eastAsia" w:ascii="仿宋" w:hAnsi="仿宋" w:eastAsia="仿宋" w:cs="仿宋"/>
          <w:bCs/>
          <w:kern w:val="0"/>
          <w:sz w:val="24"/>
          <w:szCs w:val="20"/>
        </w:rPr>
        <w:t>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16985B6E">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不可抗力所致及其处理：因不可抗力导致本合同实施延误或不能履行合同义务，当事方应尽一切可能做好善后工作，并事后以书面形式将不可抗力的情况和原因通知对方，双方协商解决并履行不受不可抗力的影响的其他事项；</w:t>
      </w:r>
    </w:p>
    <w:p w14:paraId="0B45E8A6">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合同修改：除了双方签署书面修改协议并成为本合同不可分割的一部分的情况之外，本合同的条款不得有任何变化或修改。其中甲、乙双方为本合同材料供应所编制的采购文件和报价文件均作为本合同的有效组成部分，并对甲乙双方具有同样约束力；</w:t>
      </w:r>
    </w:p>
    <w:p w14:paraId="6A8C3AE9">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4、乙方报价文件所涉及的内容和承诺的事项，将成为本合同的有效组成部分；</w:t>
      </w:r>
    </w:p>
    <w:p w14:paraId="67BB35D2">
      <w:pPr>
        <w:spacing w:line="360" w:lineRule="auto"/>
        <w:ind w:firstLine="480" w:firstLineChars="200"/>
        <w:rPr>
          <w:rFonts w:hint="eastAsia" w:ascii="仿宋" w:hAnsi="仿宋" w:eastAsia="仿宋" w:cs="Times New Roman"/>
          <w:color w:val="3366FF"/>
          <w:sz w:val="24"/>
          <w:szCs w:val="24"/>
        </w:rPr>
      </w:pPr>
      <w:r>
        <w:rPr>
          <w:rFonts w:hint="eastAsia" w:ascii="仿宋" w:hAnsi="仿宋" w:eastAsia="仿宋" w:cs="Times New Roman"/>
          <w:sz w:val="24"/>
          <w:szCs w:val="24"/>
        </w:rPr>
        <w:t>5、本合同未尽事宜，由双方友好协商解决，或订立补充合同或协议，如有争议协商不成时，任何一方可向甲方所在地有管辖权的人民法院提起诉讼。</w:t>
      </w:r>
    </w:p>
    <w:p w14:paraId="6FC088DB">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6、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493507F6">
      <w:pPr>
        <w:spacing w:line="360" w:lineRule="auto"/>
        <w:ind w:firstLine="480" w:firstLineChars="200"/>
        <w:rPr>
          <w:rFonts w:hint="default" w:ascii="仿宋" w:hAnsi="仿宋" w:eastAsia="仿宋" w:cs="Times New Roman"/>
          <w:sz w:val="24"/>
          <w:szCs w:val="24"/>
          <w:lang w:val="en-US" w:eastAsia="zh-CN"/>
        </w:rPr>
      </w:pPr>
      <w:r>
        <w:rPr>
          <w:rFonts w:hint="eastAsia" w:ascii="仿宋" w:hAnsi="仿宋" w:eastAsia="仿宋" w:cs="Times New Roman"/>
          <w:sz w:val="24"/>
          <w:szCs w:val="24"/>
        </w:rPr>
        <w:t>甲方地址：</w:t>
      </w:r>
      <w:r>
        <w:rPr>
          <w:rFonts w:hint="eastAsia" w:ascii="仿宋" w:hAnsi="仿宋" w:eastAsia="仿宋" w:cs="Times New Roman"/>
          <w:sz w:val="24"/>
          <w:szCs w:val="24"/>
          <w:u w:val="single"/>
          <w:lang w:val="en-US" w:eastAsia="zh-CN"/>
        </w:rPr>
        <w:t xml:space="preserve">                  </w:t>
      </w:r>
    </w:p>
    <w:p w14:paraId="2C012606">
      <w:pPr>
        <w:spacing w:line="360" w:lineRule="auto"/>
        <w:ind w:firstLine="480" w:firstLineChars="200"/>
        <w:rPr>
          <w:rFonts w:hint="default" w:ascii="仿宋" w:hAnsi="仿宋" w:eastAsia="仿宋" w:cs="Times New Roman"/>
          <w:sz w:val="24"/>
          <w:szCs w:val="24"/>
          <w:lang w:val="en-US" w:eastAsia="zh-CN"/>
        </w:rPr>
      </w:pPr>
      <w:r>
        <w:rPr>
          <w:rFonts w:hint="eastAsia" w:ascii="仿宋" w:hAnsi="仿宋" w:eastAsia="仿宋" w:cs="Times New Roman"/>
          <w:sz w:val="24"/>
          <w:szCs w:val="24"/>
        </w:rPr>
        <w:t>乙方地址：</w:t>
      </w:r>
      <w:r>
        <w:rPr>
          <w:rFonts w:hint="eastAsia" w:ascii="仿宋" w:hAnsi="仿宋" w:eastAsia="仿宋" w:cs="Times New Roman"/>
          <w:sz w:val="24"/>
          <w:szCs w:val="24"/>
          <w:u w:val="single"/>
          <w:lang w:val="en-US" w:eastAsia="zh-CN"/>
        </w:rPr>
        <w:t xml:space="preserve">                 </w:t>
      </w:r>
    </w:p>
    <w:p w14:paraId="05D59AFD">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7、本合同一式</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份，</w:t>
      </w:r>
      <w:r>
        <w:rPr>
          <w:rFonts w:hint="eastAsia" w:ascii="仿宋" w:hAnsi="仿宋" w:eastAsia="仿宋" w:cs="Times New Roman"/>
          <w:sz w:val="24"/>
          <w:szCs w:val="20"/>
        </w:rPr>
        <w:t>甲、乙双方各执</w:t>
      </w:r>
      <w:r>
        <w:rPr>
          <w:rFonts w:hint="eastAsia" w:ascii="仿宋" w:hAnsi="仿宋" w:eastAsia="仿宋" w:cs="Times New Roman"/>
          <w:sz w:val="24"/>
          <w:szCs w:val="20"/>
          <w:u w:val="single"/>
          <w:lang w:val="en-US" w:eastAsia="zh-CN"/>
        </w:rPr>
        <w:t xml:space="preserve">   </w:t>
      </w:r>
      <w:r>
        <w:rPr>
          <w:rFonts w:hint="eastAsia" w:ascii="仿宋" w:hAnsi="仿宋" w:eastAsia="仿宋" w:cs="Times New Roman"/>
          <w:sz w:val="24"/>
          <w:szCs w:val="20"/>
        </w:rPr>
        <w:t>份</w:t>
      </w:r>
      <w:r>
        <w:rPr>
          <w:rFonts w:hint="eastAsia" w:ascii="仿宋" w:hAnsi="仿宋" w:eastAsia="仿宋" w:cs="Times New Roman"/>
          <w:sz w:val="24"/>
          <w:szCs w:val="24"/>
        </w:rPr>
        <w:t>，具有同等的法律效力；</w:t>
      </w:r>
    </w:p>
    <w:p w14:paraId="694CC5AA">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8、本合同在双方签字盖章后生效，双方履行完毕合同中全部责任后自然终止。</w:t>
      </w:r>
    </w:p>
    <w:p w14:paraId="29B4461E">
      <w:pPr>
        <w:spacing w:line="360" w:lineRule="auto"/>
        <w:ind w:firstLine="480" w:firstLineChars="200"/>
        <w:rPr>
          <w:rFonts w:hint="eastAsia" w:ascii="仿宋" w:hAnsi="仿宋" w:eastAsia="仿宋" w:cs="仿宋"/>
          <w:szCs w:val="20"/>
        </w:rPr>
      </w:pPr>
      <w:r>
        <w:rPr>
          <w:rFonts w:hint="eastAsia" w:ascii="仿宋" w:hAnsi="仿宋" w:eastAsia="仿宋" w:cs="Times New Roman"/>
          <w:sz w:val="24"/>
          <w:szCs w:val="24"/>
        </w:rPr>
        <w:t>（本行以下无正文）</w:t>
      </w:r>
    </w:p>
    <w:p w14:paraId="31D73B41">
      <w:pPr>
        <w:wordWrap w:val="0"/>
        <w:spacing w:before="200" w:after="160"/>
        <w:ind w:left="864" w:right="864"/>
        <w:jc w:val="center"/>
        <w:rPr>
          <w:rFonts w:hint="eastAsia" w:ascii="仿宋" w:hAnsi="仿宋" w:eastAsia="仿宋" w:cs="仿宋"/>
          <w:i/>
          <w:iCs/>
          <w:sz w:val="21"/>
          <w:szCs w:val="21"/>
          <w:lang w:val="en-US" w:eastAsia="zh-CN" w:bidi="ar-SA"/>
        </w:rPr>
      </w:pPr>
    </w:p>
    <w:tbl>
      <w:tblPr>
        <w:tblStyle w:val="9"/>
        <w:tblW w:w="8439" w:type="dxa"/>
        <w:tblInd w:w="108" w:type="dxa"/>
        <w:tblLayout w:type="fixed"/>
        <w:tblCellMar>
          <w:top w:w="0" w:type="dxa"/>
          <w:left w:w="108" w:type="dxa"/>
          <w:bottom w:w="0" w:type="dxa"/>
          <w:right w:w="108" w:type="dxa"/>
        </w:tblCellMar>
      </w:tblPr>
      <w:tblGrid>
        <w:gridCol w:w="4040"/>
        <w:gridCol w:w="4399"/>
      </w:tblGrid>
      <w:tr w14:paraId="316DBF18">
        <w:trPr>
          <w:trHeight w:val="2046" w:hRule="atLeast"/>
        </w:trPr>
        <w:tc>
          <w:tcPr>
            <w:tcW w:w="4040" w:type="dxa"/>
            <w:tcBorders>
              <w:top w:val="nil"/>
              <w:left w:val="nil"/>
              <w:bottom w:val="nil"/>
              <w:right w:val="nil"/>
            </w:tcBorders>
            <w:noWrap w:val="0"/>
            <w:vAlign w:val="top"/>
          </w:tcPr>
          <w:p w14:paraId="3D3E9CCA">
            <w:pPr>
              <w:widowControl/>
              <w:spacing w:line="360" w:lineRule="auto"/>
              <w:rPr>
                <w:rFonts w:ascii="仿宋" w:hAnsi="仿宋" w:eastAsia="仿宋" w:cs="仿宋"/>
                <w:kern w:val="0"/>
                <w:sz w:val="24"/>
                <w:szCs w:val="20"/>
              </w:rPr>
            </w:pPr>
            <w:r>
              <w:rPr>
                <w:rFonts w:hint="eastAsia" w:ascii="仿宋" w:hAnsi="仿宋" w:eastAsia="仿宋" w:cs="仿宋"/>
                <w:kern w:val="0"/>
                <w:sz w:val="24"/>
                <w:szCs w:val="20"/>
              </w:rPr>
              <w:t>甲方：</w:t>
            </w:r>
            <w:r>
              <w:rPr>
                <w:rFonts w:hint="eastAsia" w:ascii="仿宋" w:hAnsi="仿宋" w:eastAsia="仿宋" w:cs="Times New Roman"/>
                <w:sz w:val="24"/>
                <w:szCs w:val="24"/>
                <w:lang w:val="en-US" w:eastAsia="zh-CN"/>
              </w:rPr>
              <w:t xml:space="preserve">     </w:t>
            </w:r>
            <w:r>
              <w:rPr>
                <w:rFonts w:hint="eastAsia" w:ascii="仿宋" w:hAnsi="仿宋" w:eastAsia="仿宋" w:cs="仿宋"/>
                <w:kern w:val="0"/>
                <w:sz w:val="24"/>
                <w:szCs w:val="20"/>
              </w:rPr>
              <w:t xml:space="preserve">  </w:t>
            </w:r>
          </w:p>
          <w:p w14:paraId="08E9616D">
            <w:pPr>
              <w:widowControl/>
              <w:spacing w:line="360" w:lineRule="auto"/>
              <w:rPr>
                <w:rFonts w:ascii="仿宋" w:hAnsi="仿宋" w:eastAsia="仿宋" w:cs="仿宋"/>
                <w:kern w:val="0"/>
                <w:sz w:val="24"/>
                <w:szCs w:val="20"/>
              </w:rPr>
            </w:pPr>
            <w:r>
              <w:rPr>
                <w:rFonts w:hint="eastAsia" w:ascii="仿宋" w:hAnsi="仿宋" w:eastAsia="仿宋" w:cs="仿宋"/>
                <w:kern w:val="0"/>
                <w:sz w:val="24"/>
                <w:szCs w:val="20"/>
              </w:rPr>
              <w:t xml:space="preserve">法定代表人：            </w:t>
            </w:r>
          </w:p>
          <w:p w14:paraId="424065CC">
            <w:pPr>
              <w:widowControl/>
              <w:spacing w:line="360" w:lineRule="auto"/>
              <w:rPr>
                <w:rFonts w:ascii="仿宋" w:hAnsi="仿宋" w:eastAsia="仿宋" w:cs="仿宋"/>
                <w:kern w:val="0"/>
                <w:sz w:val="24"/>
                <w:szCs w:val="20"/>
              </w:rPr>
            </w:pPr>
            <w:r>
              <w:rPr>
                <w:rFonts w:hint="eastAsia" w:ascii="仿宋" w:hAnsi="仿宋" w:eastAsia="仿宋" w:cs="仿宋"/>
                <w:kern w:val="0"/>
                <w:sz w:val="24"/>
                <w:szCs w:val="20"/>
              </w:rPr>
              <w:t xml:space="preserve">授权代理人：           </w:t>
            </w:r>
          </w:p>
          <w:p w14:paraId="1B08DB50">
            <w:pPr>
              <w:spacing w:line="360" w:lineRule="auto"/>
              <w:rPr>
                <w:rFonts w:ascii="仿宋" w:hAnsi="仿宋" w:eastAsia="仿宋" w:cs="仿宋"/>
                <w:kern w:val="0"/>
                <w:sz w:val="24"/>
                <w:szCs w:val="20"/>
              </w:rPr>
            </w:pPr>
            <w:r>
              <w:rPr>
                <w:rFonts w:hint="eastAsia" w:ascii="仿宋" w:hAnsi="仿宋" w:eastAsia="仿宋" w:cs="仿宋"/>
                <w:kern w:val="0"/>
                <w:sz w:val="24"/>
                <w:szCs w:val="20"/>
              </w:rPr>
              <w:t>签订日期：</w:t>
            </w:r>
          </w:p>
        </w:tc>
        <w:tc>
          <w:tcPr>
            <w:tcW w:w="4399" w:type="dxa"/>
            <w:tcBorders>
              <w:top w:val="nil"/>
              <w:left w:val="nil"/>
              <w:bottom w:val="nil"/>
              <w:right w:val="nil"/>
            </w:tcBorders>
            <w:noWrap w:val="0"/>
            <w:vAlign w:val="top"/>
          </w:tcPr>
          <w:p w14:paraId="22D21CD0">
            <w:pPr>
              <w:widowControl/>
              <w:spacing w:line="360" w:lineRule="auto"/>
              <w:rPr>
                <w:rFonts w:hint="default" w:ascii="仿宋" w:hAnsi="仿宋" w:eastAsia="仿宋" w:cs="仿宋"/>
                <w:kern w:val="0"/>
                <w:sz w:val="24"/>
                <w:szCs w:val="20"/>
                <w:lang w:val="en-US" w:eastAsia="zh-CN"/>
              </w:rPr>
            </w:pPr>
            <w:r>
              <w:rPr>
                <w:rFonts w:hint="eastAsia" w:ascii="仿宋" w:hAnsi="仿宋" w:eastAsia="仿宋" w:cs="仿宋"/>
                <w:kern w:val="0"/>
                <w:sz w:val="24"/>
                <w:szCs w:val="20"/>
              </w:rPr>
              <w:t>乙方</w:t>
            </w:r>
            <w:r>
              <w:rPr>
                <w:rFonts w:hint="eastAsia" w:ascii="仿宋" w:hAnsi="仿宋" w:eastAsia="仿宋" w:cs="Times New Roman"/>
                <w:sz w:val="24"/>
                <w:szCs w:val="20"/>
              </w:rPr>
              <w:t>：</w:t>
            </w:r>
            <w:r>
              <w:rPr>
                <w:rFonts w:hint="eastAsia" w:ascii="仿宋" w:hAnsi="仿宋" w:eastAsia="仿宋" w:cs="仿宋"/>
                <w:kern w:val="0"/>
                <w:sz w:val="24"/>
                <w:szCs w:val="20"/>
                <w:lang w:val="en-US" w:eastAsia="zh-CN"/>
              </w:rPr>
              <w:t xml:space="preserve">           </w:t>
            </w:r>
          </w:p>
          <w:p w14:paraId="3062BD98">
            <w:pPr>
              <w:widowControl/>
              <w:spacing w:line="360" w:lineRule="auto"/>
              <w:rPr>
                <w:rFonts w:hint="eastAsia" w:ascii="仿宋" w:hAnsi="仿宋" w:eastAsia="仿宋" w:cs="Times New Roman"/>
                <w:sz w:val="24"/>
                <w:szCs w:val="20"/>
              </w:rPr>
            </w:pPr>
            <w:r>
              <w:rPr>
                <w:rFonts w:hint="eastAsia" w:ascii="仿宋" w:hAnsi="仿宋" w:eastAsia="仿宋" w:cs="仿宋"/>
                <w:kern w:val="0"/>
                <w:sz w:val="24"/>
                <w:szCs w:val="20"/>
              </w:rPr>
              <w:t>法定</w:t>
            </w:r>
            <w:r>
              <w:rPr>
                <w:rFonts w:hint="eastAsia" w:ascii="仿宋" w:hAnsi="仿宋" w:eastAsia="仿宋" w:cs="Times New Roman"/>
                <w:sz w:val="24"/>
                <w:szCs w:val="20"/>
              </w:rPr>
              <w:t>代表人：</w:t>
            </w:r>
          </w:p>
          <w:p w14:paraId="4AD94C50">
            <w:pPr>
              <w:widowControl/>
              <w:spacing w:line="360" w:lineRule="auto"/>
              <w:rPr>
                <w:rFonts w:hint="eastAsia" w:ascii="仿宋" w:hAnsi="仿宋" w:eastAsia="仿宋" w:cs="Times New Roman"/>
                <w:sz w:val="24"/>
                <w:szCs w:val="20"/>
              </w:rPr>
            </w:pPr>
            <w:r>
              <w:rPr>
                <w:rFonts w:hint="eastAsia" w:ascii="仿宋" w:hAnsi="仿宋" w:eastAsia="仿宋" w:cs="Times New Roman"/>
                <w:sz w:val="24"/>
                <w:szCs w:val="20"/>
              </w:rPr>
              <w:t xml:space="preserve">授权代理人：            </w:t>
            </w:r>
          </w:p>
          <w:p w14:paraId="61C49598">
            <w:pPr>
              <w:spacing w:line="360" w:lineRule="auto"/>
              <w:rPr>
                <w:rFonts w:ascii="仿宋" w:hAnsi="仿宋" w:eastAsia="仿宋" w:cs="仿宋"/>
                <w:kern w:val="0"/>
                <w:sz w:val="24"/>
                <w:szCs w:val="20"/>
              </w:rPr>
            </w:pPr>
            <w:r>
              <w:rPr>
                <w:rFonts w:hint="eastAsia" w:ascii="仿宋" w:hAnsi="仿宋" w:eastAsia="仿宋" w:cs="仿宋"/>
                <w:kern w:val="0"/>
                <w:sz w:val="24"/>
                <w:szCs w:val="20"/>
              </w:rPr>
              <w:t>签订日期：</w:t>
            </w:r>
          </w:p>
        </w:tc>
      </w:tr>
    </w:tbl>
    <w:p w14:paraId="7CD9E737">
      <w:pPr>
        <w:spacing w:line="400" w:lineRule="exact"/>
        <w:rPr>
          <w:rFonts w:hint="eastAsia" w:ascii="仿宋" w:hAnsi="仿宋" w:eastAsia="仿宋" w:cs="Times New Roman"/>
          <w:color w:val="auto"/>
          <w:sz w:val="24"/>
        </w:rPr>
      </w:pPr>
    </w:p>
    <w:p w14:paraId="1E5F76ED">
      <w:pPr>
        <w:wordWrap w:val="0"/>
        <w:spacing w:before="200" w:after="160"/>
        <w:ind w:right="864"/>
        <w:jc w:val="both"/>
        <w:rPr>
          <w:rFonts w:hint="eastAsia" w:ascii="Times New Roman" w:hAnsi="Times New Roman" w:eastAsia="宋体" w:cs="Times New Roman"/>
          <w:b w:val="0"/>
          <w:bCs/>
          <w:i/>
          <w:iCs/>
          <w:color w:val="auto"/>
          <w:sz w:val="21"/>
          <w:szCs w:val="21"/>
          <w:lang w:val="en-US" w:eastAsia="zh-CN" w:bidi="ar-SA"/>
        </w:rPr>
      </w:pPr>
    </w:p>
    <w:p w14:paraId="18588D67">
      <w:pPr>
        <w:pStyle w:val="3"/>
        <w:rPr>
          <w:rFonts w:hint="eastAsia"/>
          <w:color w:val="auto"/>
          <w:lang w:val="en-US" w:eastAsia="zh-CN"/>
        </w:rPr>
        <w:sectPr>
          <w:footerReference r:id="rId6"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AA03B9D">
      <w:pPr>
        <w:pStyle w:val="4"/>
        <w:rPr>
          <w:rFonts w:hint="eastAsia"/>
          <w:color w:val="auto"/>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7" w:name="_Toc27313"/>
      <w:r>
        <w:rPr>
          <w:rFonts w:hint="eastAsia" w:ascii="宋体" w:hAnsi="宋体" w:eastAsia="宋体" w:cs="宋体"/>
          <w:b/>
          <w:bCs/>
          <w:color w:val="auto"/>
          <w:kern w:val="0"/>
          <w:sz w:val="32"/>
          <w:szCs w:val="32"/>
          <w:highlight w:val="none"/>
          <w:lang w:val="en-US" w:eastAsia="zh-CN"/>
        </w:rPr>
        <w:t>第六部分  响应文件格式</w:t>
      </w:r>
      <w:bookmarkEnd w:id="17"/>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惠东县水质提升工程项目（黄埠镇盐洲片区）</w:t>
      </w: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（编号09号）钢筋</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8" w:name="_Toc474920011"/>
      <w:bookmarkStart w:id="19" w:name="_Toc486837000"/>
      <w:bookmarkStart w:id="20" w:name="_Toc39826987"/>
      <w:bookmarkStart w:id="21" w:name="_Toc480462724"/>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8"/>
    <w:bookmarkEnd w:id="19"/>
    <w:bookmarkEnd w:id="20"/>
    <w:bookmarkEnd w:id="21"/>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方正书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5"/>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12516798"/>
    <w:rsid w:val="1C581A4E"/>
    <w:rsid w:val="2465270E"/>
    <w:rsid w:val="263B06E2"/>
    <w:rsid w:val="2D3F50FC"/>
    <w:rsid w:val="302E021E"/>
    <w:rsid w:val="31C33762"/>
    <w:rsid w:val="34A80A94"/>
    <w:rsid w:val="3E0F72E0"/>
    <w:rsid w:val="403F7575"/>
    <w:rsid w:val="4A537A00"/>
    <w:rsid w:val="56023A77"/>
    <w:rsid w:val="59103CAB"/>
    <w:rsid w:val="5C1B2DDE"/>
    <w:rsid w:val="5F406378"/>
    <w:rsid w:val="62406095"/>
    <w:rsid w:val="63020250"/>
    <w:rsid w:val="642826DF"/>
    <w:rsid w:val="672A074E"/>
    <w:rsid w:val="695B3EE0"/>
    <w:rsid w:val="6C7B37C0"/>
    <w:rsid w:val="6D30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customStyle="1" w:styleId="4">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6">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7">
    <w:name w:val="toc 1"/>
    <w:basedOn w:val="1"/>
    <w:next w:val="1"/>
    <w:qFormat/>
    <w:uiPriority w:val="0"/>
  </w:style>
  <w:style w:type="paragraph" w:styleId="8">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1">
    <w:name w:val="Strong"/>
    <w:qFormat/>
    <w:uiPriority w:val="0"/>
    <w:rPr>
      <w:b/>
      <w:bCs/>
    </w:rPr>
  </w:style>
  <w:style w:type="character" w:styleId="12">
    <w:name w:val="page number"/>
    <w:qFormat/>
    <w:uiPriority w:val="0"/>
  </w:style>
  <w:style w:type="character" w:customStyle="1" w:styleId="13">
    <w:name w:val="font121"/>
    <w:basedOn w:val="10"/>
    <w:qFormat/>
    <w:uiPriority w:val="0"/>
    <w:rPr>
      <w:rFonts w:hint="eastAsia" w:ascii="宋体" w:hAnsi="宋体" w:eastAsia="宋体" w:cs="宋体"/>
      <w:color w:val="000000"/>
      <w:sz w:val="28"/>
      <w:szCs w:val="28"/>
      <w:u w:val="none"/>
    </w:rPr>
  </w:style>
  <w:style w:type="character" w:customStyle="1" w:styleId="14">
    <w:name w:val="font31"/>
    <w:basedOn w:val="10"/>
    <w:qFormat/>
    <w:uiPriority w:val="0"/>
    <w:rPr>
      <w:rFonts w:hint="eastAsia" w:ascii="宋体" w:hAnsi="宋体" w:eastAsia="宋体" w:cs="宋体"/>
      <w:b/>
      <w:bCs/>
      <w:color w:val="000000"/>
      <w:sz w:val="48"/>
      <w:szCs w:val="48"/>
      <w:u w:val="none"/>
    </w:rPr>
  </w:style>
  <w:style w:type="character" w:customStyle="1" w:styleId="15">
    <w:name w:val="font112"/>
    <w:basedOn w:val="10"/>
    <w:qFormat/>
    <w:uiPriority w:val="0"/>
    <w:rPr>
      <w:rFonts w:hint="eastAsia" w:ascii="宋体" w:hAnsi="宋体" w:eastAsia="宋体" w:cs="宋体"/>
      <w:color w:val="000000"/>
      <w:sz w:val="28"/>
      <w:szCs w:val="28"/>
      <w:u w:val="none"/>
    </w:rPr>
  </w:style>
  <w:style w:type="character" w:customStyle="1" w:styleId="16">
    <w:name w:val="font101"/>
    <w:basedOn w:val="10"/>
    <w:qFormat/>
    <w:uiPriority w:val="0"/>
    <w:rPr>
      <w:rFonts w:hint="eastAsia" w:ascii="宋体" w:hAnsi="宋体" w:eastAsia="宋体" w:cs="宋体"/>
      <w:color w:val="000000"/>
      <w:sz w:val="28"/>
      <w:szCs w:val="28"/>
      <w:u w:val="none"/>
    </w:rPr>
  </w:style>
  <w:style w:type="character" w:customStyle="1" w:styleId="17">
    <w:name w:val="font21"/>
    <w:basedOn w:val="10"/>
    <w:qFormat/>
    <w:uiPriority w:val="0"/>
    <w:rPr>
      <w:rFonts w:hint="eastAsia" w:ascii="宋体" w:hAnsi="宋体" w:eastAsia="宋体" w:cs="宋体"/>
      <w:color w:val="000000"/>
      <w:sz w:val="24"/>
      <w:szCs w:val="24"/>
      <w:u w:val="none"/>
    </w:rPr>
  </w:style>
  <w:style w:type="character" w:customStyle="1" w:styleId="18">
    <w:name w:val="font91"/>
    <w:basedOn w:val="10"/>
    <w:qFormat/>
    <w:uiPriority w:val="0"/>
    <w:rPr>
      <w:rFonts w:hint="eastAsia" w:ascii="宋体" w:hAnsi="宋体" w:eastAsia="宋体" w:cs="宋体"/>
      <w:b/>
      <w:bCs/>
      <w:color w:val="000000"/>
      <w:sz w:val="40"/>
      <w:szCs w:val="40"/>
      <w:u w:val="none"/>
    </w:rPr>
  </w:style>
  <w:style w:type="character" w:customStyle="1" w:styleId="19">
    <w:name w:val="font51"/>
    <w:basedOn w:val="10"/>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1215</Words>
  <Characters>1366</Characters>
  <Lines>0</Lines>
  <Paragraphs>0</Paragraphs>
  <TotalTime>3</TotalTime>
  <ScaleCrop>false</ScaleCrop>
  <LinksUpToDate>false</LinksUpToDate>
  <CharactersWithSpaces>1391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2026-01-12T09:10:56Z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16E4D193EAFD4A5E8761743F809024CF_13</vt:lpwstr>
  </property>
  <property fmtid="{D5CDD505-2E9C-101B-9397-08002B2CF9AE}" pid="4" name="KSOTemplateDocerSaveRecord">
    <vt:lpwstr>eyJoZGlkIjoiZTcwNDdlYTI1OTFhMDMyZjIzNDQ4NGFmYzk0ZjJkYmQiLCJ1c2VySWQiOiIxNjY4MjkxOTUwIn0=</vt:lpwstr>
  </property>
</Properties>
</file>