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bookmarkStart w:id="22" w:name="_GoBack"/>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11EEB970">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粤港澳大湾区（惠州）数据产业园市政基础设施工程（二期）（第一批）项目设计、施工总承包（EPC）</w:t>
      </w:r>
    </w:p>
    <w:p w14:paraId="63986027">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6264C594">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（编号100号）综合管廊附属工程（强电工程-高压外接电部分）</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竞价</w:t>
      </w:r>
      <w:r>
        <w:rPr>
          <w:rFonts w:hint="eastAsia" w:ascii="宋体" w:hAnsi="宋体" w:eastAsia="宋体" w:cs="宋体"/>
          <w:b/>
          <w:color w:val="auto"/>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7"/>
        <w:rPr>
          <w:rFonts w:hint="eastAsia" w:ascii="宋体" w:hAnsi="宋体" w:eastAsia="宋体" w:cs="宋体"/>
          <w:color w:val="auto"/>
          <w:highlight w:val="none"/>
          <w:lang w:eastAsia="zh-CN"/>
        </w:rPr>
      </w:pPr>
    </w:p>
    <w:p w14:paraId="2A256217">
      <w:pPr>
        <w:pStyle w:val="30"/>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0"/>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惠州中茂招标有限公司</w:t>
      </w:r>
    </w:p>
    <w:p w14:paraId="2BB404CD">
      <w:pPr>
        <w:pStyle w:val="30"/>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lang w:eastAsia="zh-CN"/>
        </w:rPr>
        <w:t>年</w:t>
      </w:r>
      <w:r>
        <w:rPr>
          <w:rFonts w:hint="eastAsia" w:ascii="宋体" w:hAnsi="宋体" w:eastAsia="宋体" w:cs="宋体"/>
          <w:b/>
          <w:color w:val="auto"/>
          <w:sz w:val="32"/>
          <w:szCs w:val="32"/>
          <w:highlight w:val="none"/>
          <w:lang w:val="en-US" w:eastAsia="zh-CN"/>
        </w:rPr>
        <w:t>6</w:t>
      </w:r>
      <w:r>
        <w:rPr>
          <w:rFonts w:hint="eastAsia" w:ascii="宋体" w:hAnsi="宋体" w:eastAsia="宋体" w:cs="宋体"/>
          <w:b/>
          <w:color w:val="auto"/>
          <w:sz w:val="32"/>
          <w:szCs w:val="32"/>
          <w:highlight w:val="none"/>
          <w:lang w:eastAsia="zh-CN"/>
        </w:rPr>
        <w:t>月</w:t>
      </w:r>
      <w:r>
        <w:rPr>
          <w:rFonts w:hint="eastAsia" w:ascii="宋体" w:hAnsi="宋体" w:eastAsia="宋体" w:cs="宋体"/>
          <w:b/>
          <w:color w:val="auto"/>
          <w:sz w:val="32"/>
          <w:szCs w:val="32"/>
          <w:highlight w:val="none"/>
          <w:lang w:val="en-US" w:eastAsia="zh-CN"/>
        </w:rPr>
        <w:t>25</w:t>
      </w:r>
      <w:r>
        <w:rPr>
          <w:rFonts w:hint="eastAsia" w:ascii="宋体" w:hAnsi="宋体" w:eastAsia="宋体" w:cs="宋体"/>
          <w:b/>
          <w:color w:val="auto"/>
          <w:sz w:val="32"/>
          <w:szCs w:val="32"/>
          <w:highlight w:val="none"/>
          <w:lang w:eastAsia="zh-CN"/>
        </w:rPr>
        <w:t>日</w:t>
      </w:r>
    </w:p>
    <w:p w14:paraId="5B09394C">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0"/>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63247954">
      <w:pPr>
        <w:pStyle w:val="14"/>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p>
    <w:p w14:paraId="1DE34478">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TOC \o "1-3" \h \u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_Toc32465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kern w:val="2"/>
          <w:sz w:val="36"/>
          <w:szCs w:val="36"/>
          <w:lang w:val="en-US" w:eastAsia="zh-CN" w:bidi="ar-SA"/>
        </w:rPr>
        <w:t>第一部分</w:t>
      </w:r>
      <w:r>
        <w:rPr>
          <w:rFonts w:hint="eastAsia" w:ascii="宋体" w:hAnsi="宋体" w:eastAsia="宋体" w:cs="宋体"/>
          <w:b/>
          <w:bCs/>
          <w:color w:val="auto"/>
          <w:sz w:val="36"/>
          <w:szCs w:val="36"/>
          <w:highlight w:val="none"/>
          <w:lang w:val="zh-TW" w:eastAsia="zh-TW"/>
        </w:rPr>
        <w:t xml:space="preserve">  </w:t>
      </w:r>
      <w:r>
        <w:rPr>
          <w:rFonts w:hint="eastAsia" w:ascii="宋体" w:hAnsi="宋体" w:eastAsia="宋体" w:cs="宋体"/>
          <w:b/>
          <w:bCs/>
          <w:color w:val="auto"/>
          <w:kern w:val="2"/>
          <w:sz w:val="36"/>
          <w:szCs w:val="36"/>
          <w:highlight w:val="none"/>
          <w:lang w:val="en-US" w:eastAsia="zh-CN"/>
        </w:rPr>
        <w:t>竞价</w:t>
      </w:r>
      <w:r>
        <w:rPr>
          <w:rFonts w:hint="eastAsia" w:ascii="宋体" w:hAnsi="宋体" w:eastAsia="宋体" w:cs="宋体"/>
          <w:b/>
          <w:bCs/>
          <w:color w:val="auto"/>
          <w:sz w:val="36"/>
          <w:szCs w:val="36"/>
          <w:highlight w:val="none"/>
        </w:rPr>
        <w:t>公告</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_Toc32465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3</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787F7D32">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_Toc29038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lang w:val="zh-TW" w:eastAsia="zh-TW"/>
        </w:rPr>
        <w:t>第</w:t>
      </w:r>
      <w:r>
        <w:rPr>
          <w:rFonts w:hint="eastAsia" w:ascii="宋体" w:hAnsi="宋体" w:eastAsia="宋体" w:cs="宋体"/>
          <w:b/>
          <w:bCs/>
          <w:color w:val="auto"/>
          <w:sz w:val="36"/>
          <w:szCs w:val="36"/>
          <w:highlight w:val="none"/>
          <w:lang w:eastAsia="zh-CN"/>
        </w:rPr>
        <w:t>二</w:t>
      </w:r>
      <w:r>
        <w:rPr>
          <w:rFonts w:hint="eastAsia" w:ascii="宋体" w:hAnsi="宋体" w:eastAsia="宋体" w:cs="宋体"/>
          <w:b/>
          <w:bCs/>
          <w:color w:val="auto"/>
          <w:sz w:val="36"/>
          <w:szCs w:val="36"/>
          <w:highlight w:val="none"/>
          <w:lang w:val="zh-TW" w:eastAsia="zh-TW"/>
        </w:rPr>
        <w:t xml:space="preserve">部分  </w:t>
      </w:r>
      <w:r>
        <w:rPr>
          <w:rFonts w:hint="eastAsia" w:ascii="宋体" w:hAnsi="宋体" w:eastAsia="宋体" w:cs="宋体"/>
          <w:b/>
          <w:bCs/>
          <w:color w:val="auto"/>
          <w:sz w:val="36"/>
          <w:szCs w:val="36"/>
          <w:highlight w:val="none"/>
          <w:lang w:eastAsia="zh-CN"/>
        </w:rPr>
        <w:t>参选人须知</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_Toc29038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6</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282809ED">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_Toc14264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kern w:val="2"/>
          <w:sz w:val="36"/>
          <w:szCs w:val="36"/>
          <w:lang w:val="en-US" w:eastAsia="zh-CN" w:bidi="ar-SA"/>
        </w:rPr>
        <w:t>第三部分</w:t>
      </w:r>
      <w:r>
        <w:rPr>
          <w:rFonts w:hint="eastAsia" w:ascii="宋体" w:hAnsi="宋体" w:eastAsia="宋体" w:cs="宋体"/>
          <w:b/>
          <w:bCs/>
          <w:color w:val="auto"/>
          <w:sz w:val="36"/>
          <w:szCs w:val="36"/>
          <w:highlight w:val="none"/>
          <w:lang w:val="zh-TW" w:eastAsia="zh-TW"/>
        </w:rPr>
        <w:t xml:space="preserve">  </w:t>
      </w:r>
      <w:r>
        <w:rPr>
          <w:rFonts w:hint="eastAsia" w:ascii="宋体" w:hAnsi="宋体" w:eastAsia="宋体" w:cs="宋体"/>
          <w:b/>
          <w:bCs/>
          <w:color w:val="auto"/>
          <w:sz w:val="36"/>
          <w:szCs w:val="36"/>
          <w:highlight w:val="none"/>
        </w:rPr>
        <w:t>工程量清单</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_Toc14264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13</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721EA224">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_Toc6698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rPr>
        <w:t xml:space="preserve">第四部分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评选办法</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_Toc6698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61</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60314EAE">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_Toc25557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rPr>
        <w:t xml:space="preserve">第五部分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合同主要条款</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_Toc25557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62</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3BA364CE">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_Toc16641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rPr>
        <w:t xml:space="preserve">第六部分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响应文件格式</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_Toc16641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78</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4147072C">
      <w:pPr>
        <w:keepNext w:val="0"/>
        <w:keepLines w:val="0"/>
        <w:pageBreakBefore w:val="0"/>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rPr>
      </w:pPr>
      <w:r>
        <w:rPr>
          <w:rFonts w:hint="eastAsia" w:ascii="宋体" w:hAnsi="宋体" w:eastAsia="宋体" w:cs="宋体"/>
          <w:b/>
          <w:bCs/>
          <w:color w:val="auto"/>
          <w:sz w:val="36"/>
          <w:szCs w:val="36"/>
        </w:rPr>
        <w:fldChar w:fldCharType="end"/>
      </w:r>
    </w:p>
    <w:p w14:paraId="593E6214">
      <w:pPr>
        <w:pStyle w:val="30"/>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32465"/>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62A50CE">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）的委托，诚邀国内合格参选人就粤港澳大湾区（惠州）数据产业园市政基础设施工程（二期）（第一批）项目设计、施工总承包（EPC）</w:t>
      </w:r>
      <w:r>
        <w:rPr>
          <w:rFonts w:hint="eastAsia" w:ascii="宋体" w:hAnsi="宋体" w:eastAsia="宋体" w:cs="宋体"/>
          <w:color w:val="auto"/>
          <w:sz w:val="28"/>
          <w:szCs w:val="28"/>
          <w:highlight w:val="none"/>
          <w:u w:val="none" w:color="auto"/>
          <w:lang w:val="en-US" w:eastAsia="zh-CN"/>
        </w:rPr>
        <w:t>（编号100号）综合管廊附属工程（强电工程-高压外接电部分）</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3A5CE454">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1FB6CA89">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166A45D1">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粤港澳大湾区（惠州）数据产业园市政基础设施工程（二期）（第一批）项目位于惠东县白花镇，地块路网主要为三纵两横布置，由五条道路组成，共长4.94公里。主要建设内容为道路工程、交安工程、桥梁工程、管廊工程、电力工程、给排水工程、照明工程、景观（绿化）工程等，其中：项目规划一路长849米（碎石路面）、规划三路长864米（沥青路面）、规划四路长386米（碎石路面）道路等级为城市支路，路基宽18米，设计速度为30Km/h；规划二路长1133米（碎石路面）道路等级为城市主干路，路基宽36米，设计速度为50Km/h；规划六路长1708米（碎石路面）为城市次干路，路基宽30米，设计速度为40Km/h；管廊工程总长度约2100米：规划一路长914米、规划四路长382米、规划六长440米、规划二路长380米。项目估算总投资约39478万元，其中工程费为33986万元，项目采用勘察设计、采购、施工总承包模式（即EPC模式）实施。</w:t>
      </w:r>
    </w:p>
    <w:p w14:paraId="066F9D9F">
      <w:pPr>
        <w:pStyle w:val="16"/>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577CE0C4">
      <w:pPr>
        <w:pStyle w:val="16"/>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w:t>
      </w:r>
      <w:r>
        <w:rPr>
          <w:rFonts w:hint="eastAsia" w:ascii="宋体" w:hAnsi="宋体" w:eastAsia="宋体" w:cs="宋体"/>
          <w:color w:val="auto"/>
          <w:sz w:val="28"/>
          <w:szCs w:val="28"/>
          <w:highlight w:val="none"/>
          <w:u w:val="none"/>
          <w:shd w:val="clear" w:color="auto" w:fill="auto"/>
          <w:lang w:eastAsia="zh-CN"/>
        </w:rPr>
        <w:t>综合管廊附属工程（强电工程-高压外接电部分）</w:t>
      </w:r>
    </w:p>
    <w:p w14:paraId="7AFEAF6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2"/>
          <w:rFonts w:hint="eastAsia" w:ascii="宋体" w:hAnsi="宋体" w:eastAsia="宋体" w:cs="宋体"/>
          <w:i w:val="0"/>
          <w:iCs w:val="0"/>
          <w:caps w:val="0"/>
          <w:color w:val="auto"/>
          <w:spacing w:val="0"/>
          <w:sz w:val="28"/>
          <w:szCs w:val="28"/>
          <w:highlight w:val="none"/>
          <w:u w:val="none"/>
          <w:shd w:val="clear" w:fill="FFFFFF"/>
        </w:rPr>
        <w:t>三、</w:t>
      </w:r>
      <w:r>
        <w:rPr>
          <w:rStyle w:val="22"/>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2"/>
          <w:rFonts w:hint="eastAsia" w:ascii="宋体" w:hAnsi="宋体" w:eastAsia="宋体" w:cs="宋体"/>
          <w:i w:val="0"/>
          <w:iCs w:val="0"/>
          <w:caps w:val="0"/>
          <w:color w:val="auto"/>
          <w:spacing w:val="0"/>
          <w:sz w:val="28"/>
          <w:szCs w:val="28"/>
          <w:highlight w:val="none"/>
          <w:u w:val="none"/>
          <w:shd w:val="clear" w:fill="FFFFFF"/>
        </w:rPr>
        <w:t>资格要求</w:t>
      </w:r>
    </w:p>
    <w:p w14:paraId="177608E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3B954709">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36B9C8B">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650932A3">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6479AB4C">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4E2C1F10">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1FCE2C1C">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w:t>
      </w:r>
      <w:r>
        <w:rPr>
          <w:rFonts w:hint="eastAsia" w:ascii="宋体" w:hAnsi="宋体" w:eastAsia="宋体" w:cs="宋体"/>
          <w:color w:val="auto"/>
          <w:sz w:val="28"/>
          <w:szCs w:val="28"/>
          <w:highlight w:val="none"/>
          <w:u w:val="single" w:color="auto"/>
          <w:lang w:eastAsia="zh-CN"/>
        </w:rPr>
        <w:t>202</w:t>
      </w:r>
      <w:r>
        <w:rPr>
          <w:rFonts w:hint="eastAsia" w:ascii="宋体" w:hAnsi="宋体" w:eastAsia="宋体" w:cs="宋体"/>
          <w:color w:val="auto"/>
          <w:sz w:val="28"/>
          <w:szCs w:val="28"/>
          <w:highlight w:val="none"/>
          <w:u w:val="single" w:color="auto"/>
          <w:lang w:val="en-US" w:eastAsia="zh-CN"/>
        </w:rPr>
        <w:t>5</w:t>
      </w:r>
      <w:r>
        <w:rPr>
          <w:rFonts w:hint="eastAsia" w:ascii="宋体" w:hAnsi="宋体" w:eastAsia="宋体" w:cs="宋体"/>
          <w:color w:val="auto"/>
          <w:sz w:val="28"/>
          <w:szCs w:val="28"/>
          <w:highlight w:val="none"/>
          <w:u w:val="single" w:color="auto"/>
          <w:lang w:eastAsia="zh-CN"/>
        </w:rPr>
        <w:t>年</w:t>
      </w:r>
      <w:r>
        <w:rPr>
          <w:rFonts w:hint="eastAsia" w:ascii="宋体" w:hAnsi="宋体" w:eastAsia="宋体" w:cs="宋体"/>
          <w:color w:val="auto"/>
          <w:sz w:val="28"/>
          <w:szCs w:val="28"/>
          <w:highlight w:val="none"/>
          <w:u w:val="single" w:color="auto"/>
          <w:lang w:val="en-US" w:eastAsia="zh-CN"/>
        </w:rPr>
        <w:t>7</w:t>
      </w:r>
      <w:r>
        <w:rPr>
          <w:rFonts w:hint="eastAsia" w:ascii="宋体" w:hAnsi="宋体" w:eastAsia="宋体" w:cs="宋体"/>
          <w:color w:val="auto"/>
          <w:sz w:val="28"/>
          <w:szCs w:val="28"/>
          <w:highlight w:val="none"/>
          <w:u w:val="single" w:color="auto"/>
          <w:lang w:eastAsia="zh-CN"/>
        </w:rPr>
        <w:t>月</w:t>
      </w:r>
      <w:r>
        <w:rPr>
          <w:rFonts w:hint="eastAsia" w:ascii="宋体" w:hAnsi="宋体" w:eastAsia="宋体" w:cs="宋体"/>
          <w:color w:val="auto"/>
          <w:sz w:val="28"/>
          <w:szCs w:val="28"/>
          <w:highlight w:val="none"/>
          <w:u w:val="single" w:color="auto"/>
          <w:lang w:val="en-US" w:eastAsia="zh-CN"/>
        </w:rPr>
        <w:t>1</w:t>
      </w:r>
      <w:r>
        <w:rPr>
          <w:rFonts w:hint="eastAsia" w:ascii="宋体" w:hAnsi="宋体" w:eastAsia="宋体" w:cs="宋体"/>
          <w:color w:val="auto"/>
          <w:sz w:val="28"/>
          <w:szCs w:val="28"/>
          <w:highlight w:val="none"/>
          <w:u w:val="single" w:color="auto"/>
          <w:lang w:eastAsia="zh-CN"/>
        </w:rPr>
        <w:t>日</w:t>
      </w:r>
      <w:r>
        <w:rPr>
          <w:rFonts w:hint="eastAsia" w:ascii="宋体" w:hAnsi="宋体" w:eastAsia="宋体" w:cs="宋体"/>
          <w:color w:val="auto"/>
          <w:sz w:val="28"/>
          <w:szCs w:val="28"/>
          <w:highlight w:val="none"/>
          <w:u w:val="single" w:color="auto"/>
          <w:lang w:eastAsia="zh-CN"/>
        </w:rPr>
        <w:t>12:00。</w:t>
      </w:r>
    </w:p>
    <w:p w14:paraId="37C1F083">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2EE2B127">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19D5DDA1">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B354ACE">
      <w:pPr>
        <w:pStyle w:val="30"/>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E6A604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20C593B8">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63949C6C">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0AC301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37457ED0">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E4415C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pStyle w:val="30"/>
        <w:framePr w:wrap="auto" w:vAnchor="margin" w:hAnchor="text" w:yAlign="inline"/>
        <w:numPr>
          <w:ilvl w:val="0"/>
          <w:numId w:val="0"/>
        </w:numPr>
        <w:wordWrap w:val="0"/>
        <w:spacing w:line="440" w:lineRule="exact"/>
        <w:jc w:val="right"/>
        <w:outlineLvl w:val="9"/>
        <w:rPr>
          <w:rFonts w:hint="eastAsia" w:ascii="宋体" w:hAnsi="宋体" w:eastAsia="宋体" w:cs="宋体"/>
          <w:b/>
          <w:bCs/>
          <w:color w:val="auto"/>
          <w:sz w:val="32"/>
          <w:szCs w:val="32"/>
          <w:highlight w:val="none"/>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2025年6月25日</w:t>
      </w:r>
    </w:p>
    <w:p w14:paraId="687C0335">
      <w:pPr>
        <w:framePr w:wrap="auto" w:vAnchor="margin" w:hAnchor="text" w:yAlign="inline"/>
        <w:rPr>
          <w:rFonts w:hint="eastAsia" w:ascii="宋体" w:hAnsi="宋体" w:eastAsia="宋体" w:cs="宋体"/>
          <w:b/>
          <w:bCs/>
          <w:color w:val="auto"/>
          <w:sz w:val="32"/>
          <w:szCs w:val="32"/>
          <w:highlight w:val="none"/>
          <w:lang w:val="zh-TW" w:eastAsia="zh-TW"/>
        </w:rPr>
      </w:pPr>
      <w:bookmarkStart w:id="1" w:name="_Toc229646710"/>
      <w:bookmarkStart w:id="2" w:name="_Toc144974496"/>
      <w:bookmarkStart w:id="3" w:name="_Toc7164"/>
      <w:bookmarkStart w:id="4" w:name="_Toc16761"/>
      <w:bookmarkStart w:id="5" w:name="_Toc392345907"/>
      <w:bookmarkStart w:id="6" w:name="_Toc152045528"/>
      <w:bookmarkStart w:id="7" w:name="_Toc152042304"/>
      <w:bookmarkStart w:id="8" w:name="_Toc500491903"/>
      <w:bookmarkStart w:id="9" w:name="_Toc21380"/>
      <w:bookmarkStart w:id="10" w:name="_Toc16780"/>
      <w:bookmarkStart w:id="11" w:name="_Toc31806"/>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29038"/>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19"/>
        <w:tblW w:w="50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905"/>
        <w:gridCol w:w="602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01"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77"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01"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77"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01"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77"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粤港澳大湾区（惠州）数据产业园市政基础设施工程（二期）（第一批）项目设计、施工总承包（EPC）</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（编号100号）综合管廊附属工程（强电工程-高压外接电部分）</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01"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77"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综合管廊附属工程（强电工程-高压外接电部分）</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01"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77"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w:t>
            </w:r>
            <w:r>
              <w:rPr>
                <w:rFonts w:hint="eastAsia" w:ascii="宋体" w:hAnsi="宋体" w:eastAsia="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lang w:eastAsia="zh-CN"/>
              </w:rPr>
              <w:t>年</w:t>
            </w:r>
            <w:r>
              <w:rPr>
                <w:rFonts w:hint="eastAsia" w:ascii="宋体" w:hAnsi="宋体" w:eastAsia="宋体" w:cs="宋体"/>
                <w:color w:val="auto"/>
                <w:sz w:val="28"/>
                <w:szCs w:val="28"/>
                <w:highlight w:val="none"/>
                <w:u w:val="none"/>
                <w:lang w:val="en-US" w:eastAsia="zh-CN"/>
              </w:rPr>
              <w:t>7</w:t>
            </w:r>
            <w:r>
              <w:rPr>
                <w:rFonts w:hint="eastAsia" w:ascii="宋体" w:hAnsi="宋体" w:eastAsia="宋体" w:cs="宋体"/>
                <w:color w:val="auto"/>
                <w:sz w:val="28"/>
                <w:szCs w:val="28"/>
                <w:highlight w:val="none"/>
                <w:u w:val="none"/>
                <w:lang w:eastAsia="zh-CN"/>
              </w:rPr>
              <w:t>月</w:t>
            </w:r>
            <w:r>
              <w:rPr>
                <w:rFonts w:hint="eastAsia" w:ascii="宋体" w:hAnsi="宋体" w:eastAsia="宋体" w:cs="宋体"/>
                <w:color w:val="auto"/>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01"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77"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01"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77"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01"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77"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01"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77"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01"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77"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01"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77"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2025年7月1日</w:t>
            </w:r>
            <w:r>
              <w:rPr>
                <w:rFonts w:hint="eastAsia" w:ascii="宋体" w:hAnsi="宋体" w:eastAsia="宋体" w:cs="宋体"/>
                <w:color w:val="auto"/>
                <w:sz w:val="28"/>
                <w:szCs w:val="28"/>
                <w:highlight w:val="none"/>
                <w:u w:val="single"/>
                <w:lang w:val="en-US" w:eastAsia="zh-CN"/>
              </w:rPr>
              <w:t>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01"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77"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01"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77"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w:t>
            </w:r>
            <w:r>
              <w:rPr>
                <w:rFonts w:hint="eastAsia" w:ascii="宋体" w:hAnsi="宋体" w:eastAsia="宋体" w:cs="宋体"/>
                <w:color w:val="auto"/>
                <w:sz w:val="28"/>
                <w:szCs w:val="28"/>
                <w:highlight w:val="none"/>
                <w:lang w:val="en-US" w:eastAsia="zh-CN"/>
              </w:rPr>
              <w:t>并</w:t>
            </w:r>
            <w:r>
              <w:rPr>
                <w:rFonts w:hint="eastAsia" w:ascii="宋体" w:hAnsi="宋体" w:eastAsia="宋体" w:cs="宋体"/>
                <w:b w:val="0"/>
                <w:bCs w:val="0"/>
                <w:color w:val="auto"/>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01"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77"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01"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77"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01"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77"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none"/>
                <w:lang w:eastAsia="zh-CN"/>
              </w:rPr>
              <w:t>竞价</w:t>
            </w:r>
            <w:r>
              <w:rPr>
                <w:rFonts w:hint="eastAsia" w:ascii="宋体" w:hAnsi="宋体" w:eastAsia="宋体" w:cs="宋体"/>
                <w:color w:val="auto"/>
                <w:sz w:val="28"/>
                <w:szCs w:val="28"/>
                <w:highlight w:val="none"/>
                <w:lang w:eastAsia="zh-CN"/>
              </w:rPr>
              <w:t>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01"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77"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01"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77"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01"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77" w:type="pct"/>
            <w:noWrap w:val="0"/>
            <w:vAlign w:val="center"/>
          </w:tcPr>
          <w:p w14:paraId="64F46C93">
            <w:pPr>
              <w:pStyle w:val="31"/>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01"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77"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01"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77"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01"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77"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01"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77"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01"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77"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01"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77"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01"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77"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01"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77"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0"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01"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77"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粤港澳大湾区（惠州）数据产业园市政基础设施工程（二期）（第一批）项目设计、施工总承包（EPC）</w:t>
      </w:r>
      <w:r>
        <w:rPr>
          <w:rFonts w:hint="eastAsia" w:ascii="宋体" w:hAnsi="宋体" w:eastAsia="宋体" w:cs="宋体"/>
          <w:color w:val="auto"/>
          <w:sz w:val="28"/>
          <w:szCs w:val="28"/>
          <w:lang w:val="en-US" w:eastAsia="zh-CN"/>
        </w:rPr>
        <w:t>（编号100号）综合管廊附属工程（强电工程-高压外接电部分）</w:t>
      </w:r>
    </w:p>
    <w:tbl>
      <w:tblPr>
        <w:tblStyle w:val="1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0"/>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0"/>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采购代理机构：惠州中茂招标有限公司</w:t>
      </w:r>
    </w:p>
    <w:p w14:paraId="3533B6A0">
      <w:pPr>
        <w:pStyle w:val="30"/>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03F16675">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3" w:name="_Toc14264"/>
      <w:r>
        <w:rPr>
          <w:rFonts w:hint="eastAsia" w:ascii="宋体" w:hAnsi="宋体" w:eastAsia="宋体" w:cs="宋体"/>
          <w:b/>
          <w:bCs/>
          <w:color w:val="auto"/>
          <w:sz w:val="32"/>
          <w:szCs w:val="32"/>
          <w:highlight w:val="none"/>
          <w:lang w:val="en-US" w:eastAsia="zh-CN"/>
        </w:rPr>
        <w:t>第三部分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工程量清单</w:t>
      </w:r>
      <w:bookmarkEnd w:id="13"/>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3"/>
        <w:gridCol w:w="1973"/>
        <w:gridCol w:w="1884"/>
        <w:gridCol w:w="469"/>
        <w:gridCol w:w="920"/>
        <w:gridCol w:w="461"/>
        <w:gridCol w:w="700"/>
        <w:gridCol w:w="596"/>
        <w:gridCol w:w="463"/>
      </w:tblGrid>
      <w:tr w14:paraId="09769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98B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48"/>
                <w:szCs w:val="48"/>
                <w:u w:val="none"/>
                <w:lang w:eastAsia="zh-CN"/>
              </w:rPr>
            </w:pPr>
            <w:r>
              <w:rPr>
                <w:rFonts w:hint="eastAsia" w:ascii="宋体" w:hAnsi="宋体" w:eastAsia="宋体" w:cs="宋体"/>
                <w:b/>
                <w:bCs/>
                <w:i w:val="0"/>
                <w:iCs w:val="0"/>
                <w:color w:val="auto"/>
                <w:kern w:val="0"/>
                <w:sz w:val="48"/>
                <w:szCs w:val="48"/>
                <w:u w:val="none"/>
                <w:lang w:val="en-US" w:eastAsia="zh-CN" w:bidi="ar"/>
              </w:rPr>
              <w:t>综合管廊附属工程（强电工程-高压外接电部分）报价单</w:t>
            </w:r>
          </w:p>
        </w:tc>
      </w:tr>
      <w:tr w14:paraId="23FE4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19E8C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4"/>
                <w:szCs w:val="24"/>
                <w:u w:val="none"/>
                <w:lang w:eastAsia="zh-CN"/>
              </w:rPr>
            </w:pPr>
            <w:r>
              <w:rPr>
                <w:rFonts w:hint="eastAsia" w:ascii="宋体" w:hAnsi="宋体" w:eastAsia="宋体" w:cs="宋体"/>
                <w:b/>
                <w:bCs/>
                <w:i w:val="0"/>
                <w:iCs w:val="0"/>
                <w:color w:val="auto"/>
                <w:kern w:val="0"/>
                <w:sz w:val="24"/>
                <w:szCs w:val="24"/>
                <w:u w:val="none"/>
                <w:lang w:val="en-US" w:eastAsia="zh-CN" w:bidi="ar"/>
              </w:rPr>
              <w:t>询价方</w:t>
            </w:r>
          </w:p>
        </w:tc>
        <w:tc>
          <w:tcPr>
            <w:tcW w:w="22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2C0F46">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询价单位：广东路通达建设工程有限公司</w:t>
            </w:r>
          </w:p>
        </w:tc>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F2EB8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4"/>
                <w:szCs w:val="24"/>
                <w:u w:val="none"/>
                <w:lang w:eastAsia="zh-CN"/>
              </w:rPr>
            </w:pPr>
            <w:r>
              <w:rPr>
                <w:rFonts w:hint="eastAsia" w:ascii="宋体" w:hAnsi="宋体" w:eastAsia="宋体" w:cs="宋体"/>
                <w:b/>
                <w:bCs/>
                <w:i w:val="0"/>
                <w:iCs w:val="0"/>
                <w:color w:val="auto"/>
                <w:kern w:val="0"/>
                <w:sz w:val="24"/>
                <w:szCs w:val="24"/>
                <w:u w:val="none"/>
                <w:lang w:val="en-US" w:eastAsia="zh-CN" w:bidi="ar"/>
              </w:rPr>
              <w:t xml:space="preserve"> 报价方 </w:t>
            </w:r>
          </w:p>
        </w:tc>
        <w:tc>
          <w:tcPr>
            <w:tcW w:w="1845" w:type="pct"/>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4A632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 xml:space="preserve"> 报价单位： </w:t>
            </w:r>
          </w:p>
        </w:tc>
      </w:tr>
      <w:tr w14:paraId="62A65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1C681">
            <w:pPr>
              <w:framePr w:wrap="auto" w:vAnchor="margin" w:hAnchor="text" w:yAlign="inline"/>
              <w:widowControl w:val="0"/>
              <w:snapToGrid w:val="0"/>
              <w:jc w:val="center"/>
              <w:rPr>
                <w:rFonts w:hint="eastAsia" w:ascii="宋体" w:hAnsi="宋体" w:eastAsia="宋体" w:cs="宋体"/>
                <w:b/>
                <w:bCs/>
                <w:i w:val="0"/>
                <w:iCs w:val="0"/>
                <w:color w:val="auto"/>
                <w:kern w:val="2"/>
                <w:sz w:val="24"/>
                <w:szCs w:val="24"/>
                <w:u w:val="none"/>
                <w:lang w:eastAsia="zh-CN"/>
              </w:rPr>
            </w:pPr>
          </w:p>
        </w:tc>
        <w:tc>
          <w:tcPr>
            <w:tcW w:w="2266"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73D2F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项目名称：粤港澳大湾区（惠州）数据产业园市政基础设施工程（二期）(第一批)项目设计、施工总承包（EPC）</w:t>
            </w: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DB963">
            <w:pPr>
              <w:framePr w:wrap="auto" w:vAnchor="margin" w:hAnchor="text" w:yAlign="inline"/>
              <w:widowControl w:val="0"/>
              <w:snapToGrid w:val="0"/>
              <w:jc w:val="center"/>
              <w:rPr>
                <w:rFonts w:hint="eastAsia" w:ascii="宋体" w:hAnsi="宋体" w:eastAsia="宋体" w:cs="宋体"/>
                <w:b/>
                <w:bCs/>
                <w:i w:val="0"/>
                <w:iCs w:val="0"/>
                <w:color w:val="auto"/>
                <w:kern w:val="2"/>
                <w:sz w:val="24"/>
                <w:szCs w:val="24"/>
                <w:u w:val="none"/>
                <w:lang w:eastAsia="zh-CN"/>
              </w:rPr>
            </w:pPr>
          </w:p>
        </w:tc>
        <w:tc>
          <w:tcPr>
            <w:tcW w:w="1845" w:type="pct"/>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6A112">
            <w:pPr>
              <w:framePr w:wrap="auto" w:vAnchor="margin" w:hAnchor="text" w:yAlign="inline"/>
              <w:widowControl w:val="0"/>
              <w:snapToGrid w:val="0"/>
              <w:jc w:val="left"/>
              <w:rPr>
                <w:rFonts w:hint="eastAsia" w:ascii="宋体" w:hAnsi="宋体" w:eastAsia="宋体" w:cs="宋体"/>
                <w:i w:val="0"/>
                <w:iCs w:val="0"/>
                <w:color w:val="auto"/>
                <w:kern w:val="2"/>
                <w:sz w:val="24"/>
                <w:szCs w:val="24"/>
                <w:u w:val="none"/>
                <w:lang w:eastAsia="zh-CN"/>
              </w:rPr>
            </w:pPr>
          </w:p>
        </w:tc>
      </w:tr>
      <w:tr w14:paraId="4A8F9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09739">
            <w:pPr>
              <w:framePr w:wrap="auto" w:vAnchor="margin" w:hAnchor="text" w:yAlign="inline"/>
              <w:widowControl w:val="0"/>
              <w:snapToGrid w:val="0"/>
              <w:jc w:val="center"/>
              <w:rPr>
                <w:rFonts w:hint="eastAsia" w:ascii="宋体" w:hAnsi="宋体" w:eastAsia="宋体" w:cs="宋体"/>
                <w:b/>
                <w:bCs/>
                <w:i w:val="0"/>
                <w:iCs w:val="0"/>
                <w:color w:val="auto"/>
                <w:kern w:val="2"/>
                <w:sz w:val="24"/>
                <w:szCs w:val="24"/>
                <w:u w:val="none"/>
                <w:lang w:eastAsia="zh-CN"/>
              </w:rPr>
            </w:pPr>
          </w:p>
        </w:tc>
        <w:tc>
          <w:tcPr>
            <w:tcW w:w="226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F2F55">
            <w:pPr>
              <w:framePr w:wrap="auto" w:vAnchor="margin" w:hAnchor="text" w:yAlign="inline"/>
              <w:widowControl w:val="0"/>
              <w:snapToGrid w:val="0"/>
              <w:jc w:val="center"/>
              <w:rPr>
                <w:rFonts w:hint="eastAsia" w:ascii="宋体" w:hAnsi="宋体" w:eastAsia="宋体" w:cs="宋体"/>
                <w:i w:val="0"/>
                <w:iCs w:val="0"/>
                <w:color w:val="auto"/>
                <w:kern w:val="2"/>
                <w:sz w:val="24"/>
                <w:szCs w:val="24"/>
                <w:u w:val="none"/>
                <w:lang w:eastAsia="zh-CN"/>
              </w:rPr>
            </w:pP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34B71">
            <w:pPr>
              <w:framePr w:wrap="auto" w:vAnchor="margin" w:hAnchor="text" w:yAlign="inline"/>
              <w:widowControl w:val="0"/>
              <w:snapToGrid w:val="0"/>
              <w:jc w:val="center"/>
              <w:rPr>
                <w:rFonts w:hint="eastAsia" w:ascii="宋体" w:hAnsi="宋体" w:eastAsia="宋体" w:cs="宋体"/>
                <w:b/>
                <w:bCs/>
                <w:i w:val="0"/>
                <w:iCs w:val="0"/>
                <w:color w:val="auto"/>
                <w:kern w:val="2"/>
                <w:sz w:val="24"/>
                <w:szCs w:val="24"/>
                <w:u w:val="none"/>
                <w:lang w:eastAsia="zh-CN"/>
              </w:rPr>
            </w:pPr>
          </w:p>
        </w:tc>
        <w:tc>
          <w:tcPr>
            <w:tcW w:w="1845"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1F6C17">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 xml:space="preserve"> 报价人： </w:t>
            </w:r>
          </w:p>
        </w:tc>
      </w:tr>
      <w:tr w14:paraId="3159E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0FC01">
            <w:pPr>
              <w:framePr w:wrap="auto" w:vAnchor="margin" w:hAnchor="text" w:yAlign="inline"/>
              <w:widowControl w:val="0"/>
              <w:snapToGrid w:val="0"/>
              <w:jc w:val="center"/>
              <w:rPr>
                <w:rFonts w:hint="eastAsia" w:ascii="宋体" w:hAnsi="宋体" w:eastAsia="宋体" w:cs="宋体"/>
                <w:b/>
                <w:bCs/>
                <w:i w:val="0"/>
                <w:iCs w:val="0"/>
                <w:color w:val="auto"/>
                <w:kern w:val="2"/>
                <w:sz w:val="24"/>
                <w:szCs w:val="24"/>
                <w:u w:val="none"/>
                <w:lang w:eastAsia="zh-CN"/>
              </w:rPr>
            </w:pPr>
          </w:p>
        </w:tc>
        <w:tc>
          <w:tcPr>
            <w:tcW w:w="226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7AD6E">
            <w:pPr>
              <w:framePr w:wrap="auto" w:vAnchor="margin" w:hAnchor="text" w:yAlign="inline"/>
              <w:widowControl w:val="0"/>
              <w:snapToGrid w:val="0"/>
              <w:jc w:val="center"/>
              <w:rPr>
                <w:rFonts w:hint="eastAsia" w:ascii="宋体" w:hAnsi="宋体" w:eastAsia="宋体" w:cs="宋体"/>
                <w:i w:val="0"/>
                <w:iCs w:val="0"/>
                <w:color w:val="auto"/>
                <w:kern w:val="2"/>
                <w:sz w:val="24"/>
                <w:szCs w:val="24"/>
                <w:u w:val="none"/>
                <w:lang w:eastAsia="zh-CN"/>
              </w:rPr>
            </w:pP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49F86">
            <w:pPr>
              <w:framePr w:wrap="auto" w:vAnchor="margin" w:hAnchor="text" w:yAlign="inline"/>
              <w:widowControl w:val="0"/>
              <w:snapToGrid w:val="0"/>
              <w:jc w:val="center"/>
              <w:rPr>
                <w:rFonts w:hint="eastAsia" w:ascii="宋体" w:hAnsi="宋体" w:eastAsia="宋体" w:cs="宋体"/>
                <w:b/>
                <w:bCs/>
                <w:i w:val="0"/>
                <w:iCs w:val="0"/>
                <w:color w:val="auto"/>
                <w:kern w:val="2"/>
                <w:sz w:val="24"/>
                <w:szCs w:val="24"/>
                <w:u w:val="none"/>
                <w:lang w:eastAsia="zh-CN"/>
              </w:rPr>
            </w:pPr>
          </w:p>
        </w:tc>
        <w:tc>
          <w:tcPr>
            <w:tcW w:w="1845"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87E61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 xml:space="preserve"> 联系电话： </w:t>
            </w:r>
          </w:p>
        </w:tc>
      </w:tr>
      <w:tr w14:paraId="2998F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ACE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以下为我公司对贵公司所需产品的工程优惠报价：</w:t>
            </w:r>
          </w:p>
        </w:tc>
      </w:tr>
      <w:tr w14:paraId="124C5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CD6D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清单编号</w:t>
            </w:r>
          </w:p>
        </w:tc>
        <w:tc>
          <w:tcPr>
            <w:tcW w:w="11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27E3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工程名称</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9A72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项目特征</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8717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单位</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87DE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数量</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0CDF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不含增值税单价（元）</w:t>
            </w: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C22A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不含增值税金额（元）</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7F0E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工作内容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A47D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备注</w:t>
            </w:r>
          </w:p>
        </w:tc>
      </w:tr>
      <w:tr w14:paraId="366C6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F553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一</w:t>
            </w:r>
          </w:p>
        </w:tc>
        <w:tc>
          <w:tcPr>
            <w:tcW w:w="3764"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1D15C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高压外接电</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46608">
            <w:pPr>
              <w:framePr w:wrap="auto" w:vAnchor="margin" w:hAnchor="text" w:yAlign="inline"/>
              <w:widowControl w:val="0"/>
              <w:snapToGrid w:val="0"/>
              <w:jc w:val="both"/>
              <w:rPr>
                <w:rFonts w:hint="eastAsia" w:ascii="宋体" w:hAnsi="宋体" w:eastAsia="宋体" w:cs="宋体"/>
                <w:b/>
                <w:bCs/>
                <w:i w:val="0"/>
                <w:iCs w:val="0"/>
                <w:color w:val="auto"/>
                <w:kern w:val="2"/>
                <w:sz w:val="21"/>
                <w:szCs w:val="21"/>
                <w:u w:val="none"/>
                <w:lang w:eastAsia="zh-CN"/>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6038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53FA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649EA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D9500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电力电缆ZRC-YJV22-8.5/10KV-3*70mm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0584B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1、铜芯电力电缆敷设 电缆(截面70mm2以下)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2、铜芯电缆 | YJV22-8.5/10KV-3*70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F169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050AF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160</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E4ED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4856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462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F698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4C7C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D3D22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030408001003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05A6D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电力电缆ZRC-YJV22-8.7/15kV -3×120mm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8A163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1、铜芯电力电缆敷设 电缆(截面mm2以下) 120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2、电力电缆，ZRC-YJV22-8.7/15kV -3×120mm</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5C113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E97B1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3715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B2B7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1909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F536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4B7C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6B74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C85D6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0E451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电力电缆ZRC-YJV22-8.7/15KV-3*300mm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BA97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1、铜芯电力电缆敷设 电缆(截面mm2以下) 400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2、铜芯电缆 | ZRC-YJV22-8.7/15KV-3*300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55D6C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666C3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120</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C1ED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786A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1A69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6E2C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FAD6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7ACD5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030408003001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CEABE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电缆保护管 CPVC-DN150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6CDCB4">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1、电缆保护管埋地敷设 塑料管(公称直径mm以下) 150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2、电缆保护管 | CPVC-DN150*8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3、管件 | DN150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B54E2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6EA1E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3995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1EE2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FCE1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8926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DCBE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5EA9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73D0C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030408006001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CBAB8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全冷缩户内终端头|3×70mm2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82EC2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全冷缩户内终端头|3×70mm2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70329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185D1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3919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C5E9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016E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CC3A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52DB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32B1D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030408006002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AF9DC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全冷缩户内终端头|3×120mm2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F521E6">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全冷缩户内终端头|3×120mm2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622B9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74E38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5B7F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23AE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3513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B8C1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80EC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0EAAB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030408006003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1AC9A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全冷缩户外终端头|3×120mm2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2901E0">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全冷缩户外终端头|3×120mm2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05485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67ECA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017C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A4C1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2E09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D1B4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6BC9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8B84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030408006005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7E462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全冷缩户外中间头|3×120mm2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FF2078">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全冷缩户外中间头|3×120mm2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240ED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9E7CA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7EC4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65A8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7B59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A943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B3BC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03343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030408006004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F743A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全冷缩户内终端头|3×300mm2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2ADFD4">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全冷缩户内终端头|3×300mm2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DA34A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F8A41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C931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B43A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37A7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75A7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D525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831E3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030408006005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4F161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全冷缩户外终端头|3×300mm2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2EA17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 全冷缩户外终端头|3×300mm2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CE8B4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395E6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C70E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CA6F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F1A4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D51F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7918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17F5D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030414015001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DC1AB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电缆试验--交流耐压试验</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6BFB8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电缆试验--交流耐压试验</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F1854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次/根/点</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43CFA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8F31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48B7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B740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ABEC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9830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2118A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1B482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92677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A1239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87A16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59A4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376E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D39E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F4A5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3AA0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C2B51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2F8CE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10kV全绝缘全密封户外计量箱-现浇基础-中间井口</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CEF006">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1、人工挖沟槽土方 一、二类土 深度在2m内//调：人工挖土执行底层土质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2、挖掘机挖一般土方 一、二类土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3、挖掘机装土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4、自卸汽车运土方 运距6km//扩：D1-1-53+D1-1-54*5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5、回填土 夯实机夯实 槽、坑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6、填石屑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7、非定型井垫层 混凝土(商品混凝土 C15)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8、现浇混凝土渠箱 底板(商品混凝土 C30)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9、独立设备基础(体积) 5m3以内(普通预拌混凝土 C25)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10、混凝土井盖、井圈制作 井圈(商品混凝土 C30)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11、砖砌 矩形(预拌水泥砂浆 M10)//换：预拌水泥砂浆 M10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12、钢筋制作、安装 圆钢 Φ10mm以内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13、钢筋制作、安装  Ⅲ级螺纹钢  Φ10-25mm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14、预埋铁件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15、砖墙 抹灰 井底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16、砖墙 抹灰 井内侧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17、室外塑料排水管(粘接) 公称外径(mm以内) 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18、回填砂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19、井室盖板 矩形盖板(每块体积m3) 0.05以内//换：水泥防水砂浆(配合比) 1:2 //删：中砂 //删：水 //删：复合普通硅酸盐水泥   P.C 32.5 //换：防水粉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20、异型构件安装</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D46FA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座</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DEE74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5AB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7F24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3F79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075D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B162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56970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C862F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户外开关箱接地网</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1E8106">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1、接地极(板)制作、安装 角钢接地极 普通土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2、接地母线敷设 户外接地母线敷设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3、避雷引下线敷设 沿建筑、构筑物引下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4、接地装置调试 独立接地装置（根以内） 6</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C2CB1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CFB8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B74A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975F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AD0B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9D8C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7F5B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1342F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50DE9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 围栏</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7347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 围栏</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DB720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9C93F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9CB5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B0B2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C55B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E335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37F7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E8243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7B0C0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户外开关箱(10kV SF6全绝缘断路器柜自动化成套户外两进两出)</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F00CB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户外开关箱(10kV SF6全绝缘断路器柜自动化成套户外两进两出)</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DF79B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1565E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0480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A516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79CD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661D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0A67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04ABF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71C65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10kV全绝缘全密封户外计量箱-现浇基础-中间井口</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49B92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1、人工挖沟槽土方 一、二类土 深度在2m内//调：人工挖土执行底层土质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2、挖掘机挖一般土方 一、二类土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3、挖掘机装土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4、自卸汽车运土方 运距6km//扩：D1-1-53+D1-1-54*5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5、回填土 夯实机夯实 槽、坑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6、填石屑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7、非定型井垫层 混凝土(商品混凝土 C15)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8、现浇混凝土渠箱 底板(商品混凝土 C30)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9、独立设备基础(体积) 5m3以内(普通预拌混凝土 C25)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10、混凝土井盖、井圈制作 井圈(商品混凝土 C30)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11、砖砌 矩形(预拌水泥砂浆 M10)//换：预拌水泥砂浆 M10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12、钢筋制作、安装 圆钢 Φ10mm以内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13、钢筋制作、安装  Ⅲ级螺纹钢  Φ10-25mm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14、预埋铁件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15、砖墙 抹灰 井底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16、砖墙 抹灰 井内侧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17、室外塑料排水管(粘接) 公称外径(mm以内) 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18、回填砂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19、井室盖板 矩形盖板(每块体积m3) 0.05以内//换：水泥防水砂浆(配合比) 1:2 //删：中砂 //删：水 //删：复合普通硅酸盐水泥   P.C 32.5 //换：防水粉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20、异型构件安装</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C87C3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座</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F10DE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1C7D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C66F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EC13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A078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0516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60807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030409001003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14437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户外开关箱接地网</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09F1C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1、接地极(板)制作、安装 角钢接地极 普通土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2、接地母线敷设 户外接地母线敷设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3、避雷引下线敷设 沿建筑、构筑物引下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4、接地装置调试 独立接地装置（根以内） 6</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A3ACF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39436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ED37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83A9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C9BE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6354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429D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CBCF1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030409001004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C7731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 围栏</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B3ED3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10kV全绝缘全密封户外计量箱 围栏</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3D685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D00FF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526B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5343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7E1E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4F17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4249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50DD3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粤030410005001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A7CA0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铁塔组立</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E0DC5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1、10kV以下架空配电线路杆塔组立 铁塔组立 每基重量(t以内) 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2、角钢|(综合)3、10kV以下架空配电线路工地运输 人力运输 平均运距200m以内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4、10kV以下架空配电线路工地运输 汽车运输 运输//调：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5、10kV以下架空配电线路工地运输 汽车运输 装卸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6、10kV以下架空配电线路 施工定位 单杆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7、预埋螺栓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8、挖土机挖基槽、基坑土方 一、二类土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9、回填土 夯实机夯实 槽、坑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10、10kV以下架空配电线路基础工程 现浇混凝土基础 每基混凝土量(m3) 40以下(C20普通商品混凝土20石)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11、现浇基础 混凝土垫层(C10普通商品混凝土20石)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12、钢筋制作、安装 现浇混凝土 Φ10mm以外螺纹钢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13、一般钢结构 红丹防锈漆 第一遍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14、醇酸防锈漆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15、一般钢结构 红丹防锈漆 第二遍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16、醇酸防锈漆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17、一般钢结构 调和漆 第一遍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18、酚醛调合漆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19、一般钢结构 调和漆 第二遍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20、酚醛调合漆</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8A9AE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基</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2B3E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5FDC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2DB8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92A0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BD96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5B81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B17A9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0BAE6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SCB13-80kVA环网型预装式箱变</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E99FA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SCB13-80kVA环网型预装式箱变</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DDF5C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092F7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2CCA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BCD2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1107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70D1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209C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2FCD2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331C4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组合式成套箱式变电站 315KVA</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284D08">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组合式成套箱式变电站 315KVA</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6EE41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B7C6B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A464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D5D0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6B2E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4549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44E5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1E200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030402017006</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91E35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组合式成套箱式变电站 400KVA</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C5112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组合式成套箱式变电站 400KVA</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90250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7BE5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9127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D6D7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0795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39EE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FE29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BAD96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030409001006</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97F71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组合式箱变围栏5.1m(长)×4.3m(宽)</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7148D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组合式箱变围栏5.1m(长)×4.3m(宽)</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8B395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0D33E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FB1A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4390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743D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486D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A2BD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F92DE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030409001007</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C7DA9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组合式箱变接地</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595A9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1、接地极(板)制作、安装 角钢接地极 普通土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2、接地母线敷设 户外接地母线敷设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3、避雷引下线敷设 沿建筑、构筑物引下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4、接地装置调试 独立接地装置（根以内） 6</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6C71C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E29AB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E1AA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702B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42C9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9278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342C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E5401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030414007001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19AA1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发电机发电400kw</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0A0C3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发电机发电400kw</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239C7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台班</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62621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C436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8B16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060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AB6E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7C43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68A0E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2ADF1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电力变压器系统</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ECD9E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1、电力变压器系统调试 10kV以下变压器容量(kV·A以下) 800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A0402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7DD7C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CCF4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6EAB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7328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E709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9A39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0B435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30414002001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E3D8E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送配电装置系统调试 (综合) 10kV以下交流供电</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5D2F90">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1、送配电装置系统调试 (综合) 10kV以下交流供电</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6582F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323DC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0201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483D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0E9F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9E4C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732A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B48A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030414009001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D0764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避雷器试验</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6471C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1、母线、避雷器、电容器调试 避雷器(kV以下) 10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7338F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074B9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61FA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4638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C8A9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BB6A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0AE8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ADD92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030414011001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068E1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接地装置</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C4055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1、接地装置调试 接地网</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385C9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DDEFF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1149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134D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AC04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C332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808C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8CC44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二</w:t>
            </w:r>
          </w:p>
        </w:tc>
        <w:tc>
          <w:tcPr>
            <w:tcW w:w="3764" w:type="pct"/>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3AF5353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控制中心强电</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71CC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C07E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EEBA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A8020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030404017001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E3D2C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配电箱 AL1</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577C4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成套配电箱安装 嵌入式(半周长m以内) 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2、成套配电箱 | AL1</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8E792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048C6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68BC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F79F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F64F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2F70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37CF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8085C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030404017002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705D8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配电箱 AL2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BAA1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成套配电箱安装 嵌入式(半周长m以内) 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2、成套配电箱 | AL2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CF11E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DBA8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C266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B154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10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F850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BE5A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045B3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030404017003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DD935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配电箱 AL3</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25B97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成套配电箱安装 嵌入式(半周长m以内) 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2、成套配电箱 | AL3</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F8A64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315A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DA84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12DB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1942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B339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ED7C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ADAE9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030404017004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379B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配电箱 AL4</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B996B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成套配电箱安装 嵌入式(半周长m以内) 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2、成套配电箱 | AL4</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46098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68D9D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6113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287A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4CB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D51E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4237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9D45D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030404017005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8E0F5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配电箱 ALE</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E93A4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成套配电箱安装 嵌入式(半周长m以内) 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2、成套配电箱|ALE</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7FA3A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1803A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14AB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38D4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48CF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2316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33D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82102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030412004001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9C43B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LED安全出口指示灯 1W</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A3B28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1、标志、诱导装饰灯具安装 墙壁式 示意图号:171、172、173、1742、LED安全出口指示灯 3W</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01684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4BC1D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E69E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637A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4E79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780B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1404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B3F1B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030412004002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CE79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LED疏散指示灯 1W</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4FFDE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1、标志、诱导装饰灯具安装 墙壁式 示意图号:171、172、173、174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2、LED疏散指示灯 3W</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491C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AF50A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2CFD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AD5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C344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0FB3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8067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B8CF4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030412005001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8971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LED双管荧光灯 2*30W</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77A110">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1、普通成套型荧光灯具安装 吸顶式 双管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2、LED双管荧光灯 2*30W</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FF4C6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5C25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E612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551B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2CAA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DC7F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6E34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DEE5F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030412005002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C637C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LED双管灯（带蓄电池）光源:LED-2*30W（180min）</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5AD3B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1、普通成套型荧光灯具安装 吸顶式 双管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2、LED双管灯（带蓄电池）光源:LED-2*30W（180min）</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DFCC2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8EDF6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D258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DC7D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5741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4603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2B0F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44783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030412004003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1AC06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LED应急灯 10W</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2577D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1、密闭灯具安装 应急灯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2、LED应急灯 10W</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D2B58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BEC14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19</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EA25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11CA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C0A2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64C1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B603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572B0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030412001002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57604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防水防尘灯</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D92BE8">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1、半圆球吸顶灯安装 灯罩直径(mm以内) 250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2、防水防尘灯</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D2D0C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C34B6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6</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9F4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4C48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B9BF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F0E9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E18F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6FF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030412001003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2E18E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吸顶灯</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D6B0C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1、半圆球吸顶灯安装 灯罩直径(mm以内) 250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2、吸顶灯</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1EC4A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91A90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AEBD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6D10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EC7A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BB9E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211B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A4C9A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030404035001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6EAA2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单相壁挂空调带开关插座</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E3A806">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单相暗插座安装 单相（A以下） 16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2、单相壁挂空调带开关插座</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19377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CA260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3BB7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BB7C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0A65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E5A6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2487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ADC5B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030404035002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B924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单相二三极暗装插座</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01FA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单相暗插座安装 单相（A以下） 16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2、单相二三极暗装插座</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5A1A6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5DBE3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D5C9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1402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A8BD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FEBC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041C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1DE03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030404034001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ED13E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1位开关</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1AF40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照明开关安装 扳式暗开关(单控) 单联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2、1位开关</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F93E4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C8A2A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D973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DA7D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9D3B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2CE2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21E2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7C514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030404034002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0C018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2位开关</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5E084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照明开关安装 扳式暗开关(单控) 双联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2、2位开关</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C8A42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B146B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7F95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67E2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EA1E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2988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11F7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5A4FF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030404034003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40E9D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3位开关</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8F773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照明开关安装 扳式暗开关(单控) 三联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2、3位开关</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0FBB0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82FE3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A8A8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030A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6DB7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ED11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4EF9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B650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030411006003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23D40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开关（插座）盒</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5EA66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1、接线盒安装 开关（插座）盒 暗装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2、接线盒</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97C4E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32F90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67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BE59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1C3B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52E2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259E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3513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B4594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030411006004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28349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灯具接线盒</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126B2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1、接线盒安装 接线盒 暗装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2、接线盒</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54B2A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167CA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85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B0A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E966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FF7F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295A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CCC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E0885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030411001003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E1AD3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配管 PC20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1A6BD6">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1、刚性难燃线管砖、混凝土结构暗配 公称直径(mm以内) 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2、刚性难燃管 | PC20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FEF14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CC935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244.87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F74C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5235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5CCC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2883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096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568AB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030411001004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81680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配管 SC16*2mm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EF53B0">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1、镀锌钢管砖、混凝土结构暗配 公称直径(mm以内) 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2、镀锌钢管 | SC16*2mm</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C56BE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7D704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119.13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3997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9409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021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E9BB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A12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E4B71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030411001005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6DF51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配管 SC20*2.75mm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FF185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1、镀锌钢管砖、混凝土结构暗配 公称直径(mm以内) 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2、镀锌钢管 | SC20*2.75mm</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32700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8A7F5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228.96</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EAAA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9DB7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8494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612A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EA84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9A54C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030411001006</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53F99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配管 SC40*2.0mm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8834A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1、镀锌钢管砖、混凝土结构暗配 公称直径(mm以内) 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2、镀锌钢管 | SC40*2.0mm</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AE344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311CC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203.66</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3EED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9F5A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8403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0AC0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11B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0339E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030411004006</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5AEA1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配线 NH-WDZN-RYDS-2*2.5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26DBC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1、多芯软导线管内穿线(芯以内) 二芯 导线截面(mm2以内) 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2、多股铜芯聚氯乙烯绝缘导线|NH-WDZN-RYDS-2*2.5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FADD5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2EB32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214.93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5C01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2F81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6CCF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E38D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F58F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F47AF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987E7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SCB13-200kVA干式配变</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00367D">
            <w:pPr>
              <w:framePr w:wrap="auto" w:vAnchor="margin" w:hAnchor="text" w:yAlign="inline"/>
              <w:widowControl w:val="0"/>
              <w:snapToGrid w:val="0"/>
              <w:jc w:val="both"/>
              <w:rPr>
                <w:rFonts w:hint="eastAsia" w:ascii="宋体" w:hAnsi="宋体" w:eastAsia="宋体" w:cs="宋体"/>
                <w:i w:val="0"/>
                <w:iCs w:val="0"/>
                <w:color w:val="auto"/>
                <w:kern w:val="2"/>
                <w:sz w:val="21"/>
                <w:szCs w:val="21"/>
                <w:u w:val="none"/>
                <w:lang w:eastAsia="zh-CN"/>
              </w:rPr>
            </w:pP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1AD18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87F3E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A0C9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4D20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765E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1AAD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D46B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B75EC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1369C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高压成套配电柜（进线PT柜）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30651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1、配电装置安装 高压成套配电柜安装 单母线柜 断路器柜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2、1#变压器柜 1、6AH | 高压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10871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9F53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8AB0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E666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46B9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D176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996C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4E6C6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78309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高压成套配电柜（母线PT柜）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0C4E76">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1、配电装置安装 高压成套配电柜安装 单母线柜 断路器柜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2、1#变压器柜 1、6AH | 高压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E9B4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E2534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1152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D789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D53F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9D7A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DEF5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E9F25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5EC91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高压成套配电柜（进线柜）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16DF6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1、配电装置安装 高压成套配电柜安装 单母线柜 断路器柜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2、1#变压器柜 1、6AH | 高压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CE67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4E061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F5B2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4189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1A53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7391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A581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DD988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030402017005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65F8B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高压成套配电柜（出线柜）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ECFDC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1、配电装置安装 高压成套配电柜安装 单母线柜 断路器柜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2、1#变压器柜 1、6AH | 高压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10B8C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88059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41A6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AA3A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18DA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3C6E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6CF7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280A4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030404004001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A25A0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低压开关柜(屏)(计量柜）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A19874">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低压开关柜(屏)、弱电控制返回屏、箱式配电室 低压开关柜(屏)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2、1#进线柜 1、7AA | 低压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61973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E986B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173E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0E11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AF6D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5E3C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87E5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AC535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030404004002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EDB0C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低压开关柜(屏)(电容柜）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DE8E04">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低压开关柜(屏)、弱电控制返回屏、箱式配电室 低压开关柜(屏)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2、1#进线柜 1、7AA | 低压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6C143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02AD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3E9D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C5D3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F986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B792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CAF7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EA97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030404004003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66FA3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低压开关柜(屏)(市发电转换柜）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DE47D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低压开关柜(屏)、弱电控制返回屏、箱式配电室 低压开关柜(屏)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2、1#进线柜 1、7AA | 低压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0CD4A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A7B9D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26B2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20AB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B1F3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D2A5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BB1B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F5299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030404004004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4FCB9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低压开关柜(屏)(出线柜）</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1FDE8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低压开关柜(屏)、弱电控制返回屏、箱式配电室 低压开关柜(屏)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2、1#进线柜 1、7AA | 低压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21C59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C4C07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AF61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DBA5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90C2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390B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118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3978C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030413002003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516E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凿(压)槽</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9F1A2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1、凿槽、刨沟(砖结构) 宽×深(mm以内) 70×70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2、沟槽修补 尺寸(宽×深mm) 70×70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D0139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EE94F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108.8</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BFB0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0066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333A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7E26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53F9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DFF6C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C3E2D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电力变压器系统</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8300F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1、电力变压器系统调试 10kV以下变压器容量(kV·A以下) 800//调：干式变压器系统调试</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DD217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3C55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A4E1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CEBA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3EAE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D8DC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A16D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A4A14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030414002003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73F58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送配电装置系统调试 (综合) 10kV以下交流供电</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BE1765">
            <w:pPr>
              <w:framePr w:wrap="auto" w:vAnchor="margin" w:hAnchor="text" w:yAlign="inline"/>
              <w:widowControl w:val="0"/>
              <w:snapToGrid w:val="0"/>
              <w:jc w:val="both"/>
              <w:rPr>
                <w:rFonts w:hint="eastAsia" w:ascii="宋体" w:hAnsi="宋体" w:eastAsia="宋体" w:cs="宋体"/>
                <w:i w:val="0"/>
                <w:iCs w:val="0"/>
                <w:color w:val="auto"/>
                <w:kern w:val="2"/>
                <w:sz w:val="21"/>
                <w:szCs w:val="21"/>
                <w:u w:val="none"/>
                <w:lang w:eastAsia="zh-CN"/>
              </w:rPr>
            </w:pP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D273C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5B06E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6</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105F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0FA0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0C2E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8F90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56F5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AFA82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04BEB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电力变压器系统</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8A180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1、电力变压器系统调试 10kV以下变压器容量(kV·A以下) 800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96335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F6522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49B0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861D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712D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0D98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BC79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3C8DB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030414002002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8CF81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送配电装置系统调试 (综合) 1kV以下交流供电</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8F5FA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1、送配电装置系统调试 (综合) 1kV以下交流供电</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CAE9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24BF6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9523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2DCA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D0DB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F83B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CDCB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128FF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030404017006</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F7385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配电箱 AL5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10E10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成套配电箱安装 嵌入式(半周长m以内) 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2、成套配电箱 | AL5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4D2A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49A4E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3173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0681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7AC1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7859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7E75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749FB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030404017007</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28D1D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配电箱 AL6</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02277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成套配电箱安装 嵌入式(半周长m以内) 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2、成套配电箱 |AL6</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70104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台</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5A66A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54BF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1B20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1582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B61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CC07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14BBC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030904003001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79E37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残卫按钮</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69CD9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1、名称:残卫按钮</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741E6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DA235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03A9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0393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410D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6D35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BF9F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42F53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030904005002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81518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残卫报警器</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C4C08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1、名称:残卫报警器</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F22D2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9D71A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24FF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F3D0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0388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1577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F7B1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71246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030404034004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44FAC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单控防水开关</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9E91B7">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1、名称:单控防水开关</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AA649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17421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9ACA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DDDA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57F4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656C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B25A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BCFF3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030404034005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45D0C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双联防水单控开关</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9413C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1、控制设备及低压电器安装 照明开关安装 扳式暗开关(单控) 双联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2、2位开关</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E9266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693A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D201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23A4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BD54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28B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169D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164E8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030411001007</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6E98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配管 PC25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C5413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1、刚性难燃线管砖、混凝土结构暗配 公称直径(mm以内) 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2、刚性难燃管 | PC25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D148D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13D0F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33.14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1F58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26D5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5345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7615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5559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D4574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030411001008</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59905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配管 SC25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12658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1、镀锌钢管砖、混凝土结构暗配 公称直径(mm以内) 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2、镀锌钢管 | SC25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EA29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0BDC8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73.57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3DFD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B409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D33F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277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20A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74ADB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030411004010</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705BA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配线 ZN-BYJ2.5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A379B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1、硬绝缘导线管内穿线 导线截面(mm2以内) 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2、绝缘电线|ZN-BYJ2.5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31E71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3307B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365.86</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0817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7938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BB86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B1C4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0482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99280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030411004011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4ABA5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配线 ZN-BYJ4</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AB0A1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1、硬绝缘导线管内穿线 导线截面(mm2以内)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2、绝缘电线|NHBV-4</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E9A66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511B2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453.37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7BB2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39D5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3B0F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F1BC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77C3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F37D3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030411004012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6CD13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配线 ZR-BYJ2.5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6D8D0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1、硬绝缘导线管内穿线 导线截面(mm2以内) 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2、绝缘电线|ZRBV-2.5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A056B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BFD06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518.06</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926B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EC93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813E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26F5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4FD1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D7F99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030411004013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DFCA1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配线 ZR-BYJ4</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903A8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1、硬绝缘导线管内穿线 导线截面(mm2以内)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2、绝缘电线|ZRBV-4</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D41E3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89F3B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397.01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B403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13EA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CD8F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63FB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B187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3B119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030408001005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2320B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电力电缆 ZN-YJY-5*16</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6EBD6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1、铜芯电力电缆敷设 电缆(截面mm2以下) 35//扩:C4-8-2+补C4-8-2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2、铜芯电缆 |  ZN-YJY-5*16</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E7A2A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0BBC6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175.67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653C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F367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93B6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50DD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7B87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01423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030408001006</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8D1A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电力电缆 ZR-YJY-5*16</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3B389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1、铜芯电力电缆敷设 电缆(截面mm2以下) 35//扩:C4-8-2+补C4-8-2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2、铜芯电缆 | ZR-YJY-5*16</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DD6D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84391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61.69</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BADD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67F7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1788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E5B3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A38C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9827B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四</w:t>
            </w:r>
          </w:p>
        </w:tc>
        <w:tc>
          <w:tcPr>
            <w:tcW w:w="3764" w:type="pct"/>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3CA942A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控制中心防雷</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C6E0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A230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AF33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A51EE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030409008001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BFC08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端子箱 LEB</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0BF51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1、等电位端子箱安装 端子箱暗装（半周长mm以内） 300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2、端子箱|LEB</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B4650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38F9E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0B0A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B6C7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A4E4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0DE7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46F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8F687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030409008002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57439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端子箱 MEB</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3634A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1、等电位端子箱安装 端子箱暗装（半周长mm以内） 300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2、端子箱|MEB</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741DC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9752C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1BBA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5FA5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0BBD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64D9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3D88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466FB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030409003001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303D7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避雷引下线</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C8D0F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1、避雷引下线敷设 利用建筑物主筋引下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FAB13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AAAC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84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B1F2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5301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D27D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4982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5D6D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99AF1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030409005001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ED68B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避雷网 镀锌圆钢D12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AE19F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1、避雷网安装 沿折板支架敷设2、镀锌圆钢D12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9CCF3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BEF7E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164.11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A3A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FD73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94E2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1F55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9111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4141A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030409006001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11BA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避雷针 镀锌圆钢D16,H=1.5m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145B5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1、避雷小短针制作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2、避雷针 | 镀锌圆钢D16,H=1.5m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3、避雷小短针在避雷网上安装</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1AE24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根</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C0063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5251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5A27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18A9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7DE8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D802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8E668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9988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均压环</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7B2EC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1、均压环敷设 利用梁内钢筋</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49C73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546B5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158.84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582B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8BB8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6E3D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BDD1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1374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AE52D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粤030409012001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FB473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桩承台接地</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C0EC8F">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1、桩承台接地线安装 三连桩//调：单桩承台及无承台接地线敷设</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57C74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基</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357DB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7A07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8EAB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A6FB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C10E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4D9A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0DF8F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030414011001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4F418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接地装置调试 接地网</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272F74">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1、接地装置调试 接地网</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5B557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系统</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302FE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3BEF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99D4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9E25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67F2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106D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F3495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030409002001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C467F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-25x4不锈钢扁钢地面、墙面穿管暗敷</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8DB1B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1、名称:-25x4不锈钢扁钢地面、墙面穿管暗敷</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643B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64656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16.81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D551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66A6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1D63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7335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7BF4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C8BE3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030409002002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EDD44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-40*4不锈钢扁钢电缆沟内帖敷接地</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04798D">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1、名称:-40*4不锈钢扁钢电缆沟内帖敷接地</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04E8A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A46AF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56.1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FE79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76A4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F6EC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232E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8F04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06562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30409001001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D1591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不锈钢角钢L2500*50*50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DF6CF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1、名称:不锈钢角钢L2500*50*50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264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根</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04702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92F3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06A9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2F9D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AE98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C42A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A2993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五</w:t>
            </w:r>
          </w:p>
        </w:tc>
        <w:tc>
          <w:tcPr>
            <w:tcW w:w="3764" w:type="pct"/>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C75C41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控制中心给水</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8B32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4F82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13D1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7599A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031001006001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FB52B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PPR给水管 DN20*1.25MPa</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4D265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1、室内塑料给水管(热熔连接) 公称外径(mm以内) 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2、PPR给水管 DN20*1.25MPa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3、室内塑料给水管接头零件(热熔接)|DN20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4、管道消毒、冲洗 公称直径(mm以内) 20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1D22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5C1B8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20.83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B1C8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AEC8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CF5D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97AD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1877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8574E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031001006002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D742F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PPR给水管 DN25*1.25MPa</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8BFCA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1、室内塑料给水管(热熔连接) 公称外径(mm以内) 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2、PPR给水管 DN25*1.25MPa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3、室内塑料给水管接头零件(热熔接)|DN25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4、管道消毒、冲洗 公称直径(mm以内) 25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70170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3BD9A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8.02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1137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7D75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0686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374E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C85B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5215A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031001006003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21CF2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PPR给水管 DN32*1.25MPa</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BC1D5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1、室内塑料给水管(热熔连接) 公称外径(mm以内) 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2、PPR给水管 DN32*1.25MPa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3、室内塑料给水管接头零件(热熔接)|DN32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4、管道消毒、冲洗 公称直径(mm以内) 32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3A8D8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262DE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14.03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31B2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F49D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F23A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035F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0A16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61FA3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031003001001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94C1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Y型过滤器 DN32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E57C4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1、螺纹阀安装 公称直径(mm以内) 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2、Y型过滤器 DN32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3103A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BE6F4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6E12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6E8F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287F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B0B0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C698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8820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031003001002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A5F9B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倒流防止器 DN32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CB8F2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1、螺纹阀安装 公称直径(mm以内) 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2、倒流防止器 DN32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1151D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BC5B9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AA87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3F2B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2741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290C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B6AB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B8AD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031003013001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4C8E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水表组[含截止阀] DN32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F204C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1、螺纹水表 公称直径(mm以内) 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2、截止阀 DN32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3、水表 DN32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06102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794BA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81D4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97C4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FB92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CD2C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AF24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1FCFD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031004006001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9B181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蹲式大便器</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E145C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1、蹲式大便器安装 瓷低水箱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2、瓷蹲式大便器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3、瓷蹲式大便器水箱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4、螺纹管件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5、金属软管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6、角型阀(带铜活)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7、冲洗器 DN32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8、瓷制大便器用存水弯</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E86E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2C98B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5497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E7B3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6BC6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326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35F0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FAA8C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031004007001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4CB67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感应式小便器</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86417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1、壁挂式小便器安装 感应开关 埋入式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2、挂式小便器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3、小便器排水附件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4、小便器冲水连接管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5、埋入式感应控制器</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C92F4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47631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3552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1106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FEBC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2561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614F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71480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031004010001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13EC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淋浴器</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62B0D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1、成套淋浴器 手动开关 冷热水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2、双管成品淋浴器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3、螺纹管件 DN15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C3F67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1B839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3FFB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93A2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58FA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4A94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59D1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9B79E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031004003001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D4C6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洗脸盆</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7D6F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1、洗脸盆 立柱式 冷水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2、洗脸盆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3、洗脸盆排水附件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4、水龙头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5、角型阀(带铜活)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6、螺纹管件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7、金属软管 DN15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F718F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EC3A1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2CDD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49CC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1BBD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9E44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5721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302D3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031004006002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4DC81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坐式大便器</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9D05F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1、坐式大便器安装 连体水箱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2、连体坐便器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3、连体坐便器进水阀配件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4、坐便器盖板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5、螺纹管件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6、金属软管 DN15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7、角型阀(带铜活) DN15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37AB1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组</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EAE2B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994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C92F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E88A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3B77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6818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A465A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31002001001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10FE8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成品管卡 DN20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366E0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1、成品管卡安装 公称直径(mm以内) 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2、成品管卡|DN20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F60A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46056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A07B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BDC9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DEF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90A2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D428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6F3F5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六</w:t>
            </w:r>
          </w:p>
        </w:tc>
        <w:tc>
          <w:tcPr>
            <w:tcW w:w="3764" w:type="pct"/>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2BDCB0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控制中心雨水</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71EF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0192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5FD4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48592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031001006004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EEC0D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PVC排水管 DN100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93206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1、室内塑料雨水管(粘接) 公称外径(mm以内) 110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2、PVC排水管 DN100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3、室内塑料排水管件 | DN100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E424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1E03E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39.78</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903B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B38A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65A7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FC0E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C731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8A00D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031004014001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FDA83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雨水斗 DN100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26D837">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1、普通雨水斗安装 公称直径(mm以内) 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2、雨水斗 | DN100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8A4BF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D9255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8</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F308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1D3B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A78D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AE6D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CDEA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1B8F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031004014002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3FED5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溢流口 100*200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A03DAB">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1、地漏安装 公称直径(mm以内) 150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2、溢流口 100*200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68E8E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8DF41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0711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8C63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379E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AEA1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7CF0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DD5DD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31002001002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913F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成品管卡 DN100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34ED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1、成品管卡安装 公称直径(mm以内) 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2、成品管卡|DN100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130CD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06191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13D1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CB37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5197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3F8D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1B65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8D935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七</w:t>
            </w:r>
          </w:p>
        </w:tc>
        <w:tc>
          <w:tcPr>
            <w:tcW w:w="3764" w:type="pct"/>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F72214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控制中心污水</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3F2D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3FBD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0774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0B88D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031001006005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EB391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PVC排水管 DN75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1FB7A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1、室内塑料排水管(粘接) 公称外径(mm以内) 75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2、PVC排水管 DN75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3、室内塑料排水管件 | DN75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97EA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65224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20.83</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4C01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AC88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EAB4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E4D3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4E9E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7F312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031001006006</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5377A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PVC排水管 DN100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21167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1、室内塑料排水管(粘接) 公称外径(mm以内) 110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2、PVC排水管 DN100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3、室内塑料排水管件 | DN100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27AB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6C3A0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23.58</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CA91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D8B0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46AA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949D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58C8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016F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031001006007</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4A134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HDPE双壁波纹管 DN150,8KN/m2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32AD2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1、室外塑料排水管(粘接) 公称外径(mm以内) 160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2、HDPE双壁波纹管 DN150,8KN/m2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3、塑料排水管直接 | DN150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23017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124BE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DA66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2F0F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523A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DA5B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D65E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8436A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040501004001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0BE58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HDPE双壁波纹管 DN200,8KN/m2</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51CB4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 xml:space="preserve">1、垫层 砂//换：回填砂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2、双壁波纹管安装[PVC-U或HDPE](承插式胶圈接口) 管径300mm以内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3、HDPE双壁波纹管 DN200,8KN/m2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4、橡胶圈 | DN200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5、管道闭水试验 管径400mm以内</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32858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67912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3.91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9C77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ACB5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68D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A58E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302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D26FB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031004014003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5F22E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地漏 DN75</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424F00">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1、地漏安装 公称直径(mm以内) 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2、地漏 DN75</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A0EC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359AE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4A69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19A7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73DF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EADB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4D98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3B9F3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031004014004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45DA3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清扫口 DN100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51FD6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1、地面扫除口安装 公称直径(mm以内) 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2、地面扫除口 | DN100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9D74D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个</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6F990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F75F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0FD1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E767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67AA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8B06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1EB84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040504008001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32DE6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化粪池 G2-4SQF</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C0C02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1、化粪池 G2-4SQF</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2、玻璃钢化粪池 G2-4SQF</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BD240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座</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5CCC2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DF97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9442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E1B1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17E7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E291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19318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E5EA5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污水井 深=1.3m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5F1D2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1、圆形污水检查井 砖砌直筒式 适用管径 ≤400 井径700 井深1.3m//扩：D5-3-10+D5-3-157*2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2、井环盖、井座 | D700</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D604D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座</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F07E9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11C8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73D9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2A8B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ADB8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C5F9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96A34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040101002001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E85E3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挖沟槽土方</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0D063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1、人工挖沟槽土方 一、二类土 深度在2m内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2、挖掘机挖沟槽、基坑土方 一、二类土</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342E6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1689A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13.92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1ED9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5B18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96C7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3F69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435D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0446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40103001001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E723D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回填土方</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11004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1、回填土 夯实机夯实 槽、坑</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83D4C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D7497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13.92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1C89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EE40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F29D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804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48CE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ADE96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八</w:t>
            </w:r>
          </w:p>
        </w:tc>
        <w:tc>
          <w:tcPr>
            <w:tcW w:w="3764" w:type="pct"/>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FC66A5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0"/>
                <w:sz w:val="21"/>
                <w:szCs w:val="21"/>
                <w:u w:val="none"/>
                <w:lang w:val="en-US" w:eastAsia="zh-CN" w:bidi="ar"/>
              </w:rPr>
              <w:t>电缆排管及电缆沟</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DC77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AEA8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2458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0633A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040501004001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4545E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PE电力管 DN160</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C05095">
            <w:pPr>
              <w:framePr w:wrap="auto" w:vAnchor="margin" w:hAnchor="text" w:yAlign="inline"/>
              <w:widowControl w:val="0"/>
              <w:snapToGrid w:val="0"/>
              <w:jc w:val="both"/>
              <w:rPr>
                <w:rFonts w:hint="eastAsia" w:ascii="宋体" w:hAnsi="宋体" w:eastAsia="宋体" w:cs="宋体"/>
                <w:i w:val="0"/>
                <w:iCs w:val="0"/>
                <w:color w:val="auto"/>
                <w:kern w:val="2"/>
                <w:sz w:val="21"/>
                <w:szCs w:val="21"/>
                <w:u w:val="none"/>
                <w:lang w:eastAsia="zh-CN"/>
              </w:rPr>
            </w:pP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B9EF6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D13D2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50.1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DA89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843C2">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BCC3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509F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754CD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FB02C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040101002002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BE97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挖沟槽土方</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917694">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1、人工挖沟槽土方 一、二类土 深度在2m内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2、挖掘机挖沟槽、基坑土方 一、二类土</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A31B9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67EAC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10.08</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85553">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D280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AE7B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A9F1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6B1B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EE6F3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040103001003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6C16C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回填石粉</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6269B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1、回填石屑//换: 石粉 //换: 石粉</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C24DD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6EDC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10.08</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5F60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6E87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FDC7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4E29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F4F0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D830A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040103002001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CD6FD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余方弃置</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997A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1、挖掘机装土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2、自卸汽车运土方 运距1km内</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C37F1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E26F4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10.08</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ED8E5">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D431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05DE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6460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3055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6F49E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DAE9D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砌筑井</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35467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砌筑井</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8F023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座</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6F125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6D56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AC04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0EEE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4DAB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AEA7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E59BB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040504001002</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6D09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砖砌电缆沟</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001568">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砖砌电缆沟</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637D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0A275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4.54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2466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5267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A97C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0BDB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E14C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863D2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010507005001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E657D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扶手、压顶</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E3E2F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扶手、压顶</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D14D6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E2F122">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1.86</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5786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B686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7EBD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570B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247C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4AFAD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010501003001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ADB9A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独立基础</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23C613">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独立基础</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0B06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48726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2.77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FE75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6EF2C">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E639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AD39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26D4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2E7B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011104004001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74B3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防静电地坪漆</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BF8B9C">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防静电地坪漆</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C355C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m2</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625F1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115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7EAC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3943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8D98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D0EB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0B73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740E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040504001003</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D0AE5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信号放大器</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70A90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信号放大器</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B4D26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5FE14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A932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57FD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9591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AF3D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6E0B3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5C7F8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040504001004</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A4476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槽钢底座</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3E585A">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槽钢底座</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3F07C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套</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86C21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A56E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65DE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5D0A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3ED78">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2337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B061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040504001005</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AAAF6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不锈钢盖板 600×500×2mm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53AB24">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1、不锈钢盖板 600×500×2</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CF2B6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94BFB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14.24</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1A8AD">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E5E80">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1912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A2E9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4D017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66F06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010103001001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D1D8E">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回填石屑</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C91BFE">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1、回填石屑</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A6E09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m3</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8C96D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49.05</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37BAF">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EBE7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5E0BD">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72EA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21013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F93FD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011101001001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09053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C20混凝土地坪 10cm</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DC7AB2">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1、C20混凝土地坪 10cm</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D44C94">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m2</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B621E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98.09</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4C7D1">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94C7A">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39F20">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709D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4DF0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05076B">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041102002001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46F68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基础模板</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5F00B5">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基础模板</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ABDEF">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m2</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A80C77">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10.17</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7E217">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5F069">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30CEC">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4B8B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107F5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59B46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41102018001</w:t>
            </w:r>
          </w:p>
        </w:tc>
        <w:tc>
          <w:tcPr>
            <w:tcW w:w="11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2AEF8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压顶模板</w:t>
            </w:r>
          </w:p>
        </w:tc>
        <w:tc>
          <w:tcPr>
            <w:tcW w:w="11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A1ED59">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压顶模板</w:t>
            </w:r>
          </w:p>
        </w:tc>
        <w:tc>
          <w:tcPr>
            <w:tcW w:w="2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D99EA6">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m2</w:t>
            </w:r>
          </w:p>
        </w:tc>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51AE79">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14.72</w:t>
            </w:r>
          </w:p>
        </w:tc>
        <w:tc>
          <w:tcPr>
            <w:tcW w:w="2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3BD1E">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3B2C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330C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按施工图要求完成本项的工作任务。</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31ACB">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3A13C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96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4ED4B8">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不含增值税总价</w:t>
            </w: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DEAD7">
            <w:pPr>
              <w:framePr w:wrap="auto" w:vAnchor="margin" w:hAnchor="text" w:yAlign="inline"/>
              <w:widowControl w:val="0"/>
              <w:snapToGrid w:val="0"/>
              <w:jc w:val="center"/>
              <w:rPr>
                <w:rFonts w:hint="eastAsia" w:ascii="宋体" w:hAnsi="宋体" w:eastAsia="宋体" w:cs="宋体"/>
                <w:b/>
                <w:bCs/>
                <w:i w:val="0"/>
                <w:iCs w:val="0"/>
                <w:color w:val="auto"/>
                <w:kern w:val="2"/>
                <w:sz w:val="22"/>
                <w:szCs w:val="22"/>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2C1FD">
            <w:pPr>
              <w:framePr w:wrap="auto" w:vAnchor="margin" w:hAnchor="text" w:yAlign="inline"/>
              <w:widowControl w:val="0"/>
              <w:snapToGrid w:val="0"/>
              <w:jc w:val="center"/>
              <w:rPr>
                <w:rFonts w:hint="eastAsia" w:ascii="宋体" w:hAnsi="宋体" w:eastAsia="宋体" w:cs="宋体"/>
                <w:b/>
                <w:bCs/>
                <w:i w:val="0"/>
                <w:iCs w:val="0"/>
                <w:color w:val="auto"/>
                <w:kern w:val="2"/>
                <w:sz w:val="22"/>
                <w:szCs w:val="22"/>
                <w:u w:val="none"/>
                <w:lang w:eastAsia="zh-CN"/>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B6644">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5365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96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4D64CD1">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增值税（   %）</w:t>
            </w: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CABC9">
            <w:pPr>
              <w:framePr w:wrap="auto" w:vAnchor="margin" w:hAnchor="text" w:yAlign="inline"/>
              <w:widowControl w:val="0"/>
              <w:snapToGrid w:val="0"/>
              <w:jc w:val="center"/>
              <w:rPr>
                <w:rFonts w:hint="eastAsia" w:ascii="宋体" w:hAnsi="宋体" w:eastAsia="宋体" w:cs="宋体"/>
                <w:b/>
                <w:bCs/>
                <w:i w:val="0"/>
                <w:iCs w:val="0"/>
                <w:color w:val="auto"/>
                <w:kern w:val="2"/>
                <w:sz w:val="22"/>
                <w:szCs w:val="22"/>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32580">
            <w:pPr>
              <w:framePr w:wrap="auto" w:vAnchor="margin" w:hAnchor="text" w:yAlign="inline"/>
              <w:widowControl w:val="0"/>
              <w:snapToGrid w:val="0"/>
              <w:jc w:val="center"/>
              <w:rPr>
                <w:rFonts w:hint="eastAsia" w:ascii="宋体" w:hAnsi="宋体" w:eastAsia="宋体" w:cs="宋体"/>
                <w:b/>
                <w:bCs/>
                <w:i w:val="0"/>
                <w:iCs w:val="0"/>
                <w:color w:val="auto"/>
                <w:kern w:val="2"/>
                <w:sz w:val="22"/>
                <w:szCs w:val="22"/>
                <w:u w:val="none"/>
                <w:lang w:eastAsia="zh-CN"/>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73426">
            <w:pPr>
              <w:framePr w:wrap="auto" w:vAnchor="margin" w:hAnchor="text" w:yAlign="inline"/>
              <w:widowControl w:val="0"/>
              <w:snapToGrid w:val="0"/>
              <w:jc w:val="center"/>
              <w:rPr>
                <w:rFonts w:hint="eastAsia" w:ascii="宋体" w:hAnsi="宋体" w:eastAsia="宋体" w:cs="宋体"/>
                <w:i w:val="0"/>
                <w:iCs w:val="0"/>
                <w:color w:val="auto"/>
                <w:kern w:val="2"/>
                <w:sz w:val="21"/>
                <w:szCs w:val="21"/>
                <w:u w:val="none"/>
                <w:lang w:eastAsia="zh-CN"/>
              </w:rPr>
            </w:pPr>
          </w:p>
        </w:tc>
      </w:tr>
      <w:tr w14:paraId="024A1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96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638308A">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1"/>
                <w:szCs w:val="21"/>
                <w:u w:val="none"/>
                <w:lang w:eastAsia="zh-CN"/>
              </w:rPr>
            </w:pPr>
            <w:r>
              <w:rPr>
                <w:rFonts w:hint="eastAsia" w:ascii="宋体" w:hAnsi="宋体" w:eastAsia="宋体" w:cs="宋体"/>
                <w:i w:val="0"/>
                <w:iCs w:val="0"/>
                <w:color w:val="auto"/>
                <w:kern w:val="0"/>
                <w:sz w:val="21"/>
                <w:szCs w:val="21"/>
                <w:u w:val="none"/>
                <w:lang w:val="en-US" w:eastAsia="zh-CN" w:bidi="ar"/>
              </w:rPr>
              <w:t>含增值税合计</w:t>
            </w:r>
          </w:p>
        </w:tc>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DB913">
            <w:pPr>
              <w:framePr w:wrap="auto" w:vAnchor="margin" w:hAnchor="text" w:yAlign="inline"/>
              <w:widowControl w:val="0"/>
              <w:snapToGrid w:val="0"/>
              <w:jc w:val="center"/>
              <w:rPr>
                <w:rFonts w:hint="eastAsia" w:ascii="宋体" w:hAnsi="宋体" w:eastAsia="宋体" w:cs="宋体"/>
                <w:b/>
                <w:bCs/>
                <w:i w:val="0"/>
                <w:iCs w:val="0"/>
                <w:color w:val="auto"/>
                <w:kern w:val="2"/>
                <w:sz w:val="22"/>
                <w:szCs w:val="22"/>
                <w:u w:val="none"/>
                <w:lang w:eastAsia="zh-CN"/>
              </w:rPr>
            </w:pP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F0EFF">
            <w:pPr>
              <w:framePr w:wrap="auto" w:vAnchor="margin" w:hAnchor="text" w:yAlign="inline"/>
              <w:widowControl w:val="0"/>
              <w:snapToGrid w:val="0"/>
              <w:jc w:val="center"/>
              <w:rPr>
                <w:rFonts w:hint="eastAsia" w:ascii="宋体" w:hAnsi="宋体" w:eastAsia="宋体" w:cs="宋体"/>
                <w:b/>
                <w:bCs/>
                <w:i w:val="0"/>
                <w:iCs w:val="0"/>
                <w:color w:val="auto"/>
                <w:kern w:val="2"/>
                <w:sz w:val="22"/>
                <w:szCs w:val="22"/>
                <w:u w:val="none"/>
                <w:lang w:eastAsia="zh-CN"/>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A707F">
            <w:pPr>
              <w:framePr w:wrap="auto" w:vAnchor="margin" w:hAnchor="text" w:yAlign="inline"/>
              <w:widowControl w:val="0"/>
              <w:snapToGrid w:val="0"/>
              <w:jc w:val="center"/>
              <w:rPr>
                <w:rFonts w:hint="eastAsia" w:ascii="宋体" w:hAnsi="宋体" w:eastAsia="宋体" w:cs="宋体"/>
                <w:i w:val="0"/>
                <w:iCs w:val="0"/>
                <w:color w:val="auto"/>
                <w:kern w:val="2"/>
                <w:sz w:val="24"/>
                <w:szCs w:val="24"/>
                <w:u w:val="none"/>
                <w:lang w:eastAsia="zh-CN"/>
              </w:rPr>
            </w:pPr>
          </w:p>
        </w:tc>
      </w:tr>
      <w:tr w14:paraId="02A96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2CDDF81">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以上报价为含税价格，税率为   %，开具增值税专用发票。</w:t>
            </w:r>
          </w:p>
        </w:tc>
      </w:tr>
      <w:tr w14:paraId="270D7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9"/>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74E7C7">
            <w:pPr>
              <w:keepNext w:val="0"/>
              <w:keepLines w:val="0"/>
              <w:framePr w:wrap="auto" w:vAnchor="margin" w:hAnchor="text" w:yAlign="inline"/>
              <w:widowControl/>
              <w:suppressLineNumbers w:val="0"/>
              <w:snapToGrid w:val="0"/>
              <w:jc w:val="left"/>
              <w:textAlignment w:val="center"/>
              <w:rPr>
                <w:rFonts w:hint="eastAsia" w:ascii="宋体" w:hAnsi="宋体" w:eastAsia="宋体" w:cs="宋体"/>
                <w:i w:val="0"/>
                <w:iCs w:val="0"/>
                <w:color w:val="auto"/>
                <w:kern w:val="2"/>
                <w:sz w:val="24"/>
                <w:szCs w:val="24"/>
                <w:u w:val="none"/>
                <w:lang w:eastAsia="zh-CN"/>
              </w:rPr>
            </w:pPr>
            <w:r>
              <w:rPr>
                <w:rFonts w:hint="eastAsia" w:ascii="宋体" w:hAnsi="宋体" w:eastAsia="宋体" w:cs="宋体"/>
                <w:i w:val="0"/>
                <w:iCs w:val="0"/>
                <w:color w:val="auto"/>
                <w:kern w:val="0"/>
                <w:sz w:val="24"/>
                <w:szCs w:val="24"/>
                <w:u w:val="none"/>
                <w:lang w:val="en-US" w:eastAsia="zh-CN" w:bidi="ar"/>
              </w:rPr>
              <w:t>施工地点：惠州市惠东县白花镇数据产业园</w:t>
            </w:r>
          </w:p>
        </w:tc>
      </w:tr>
      <w:tr w14:paraId="7E772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9"/>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7694D">
            <w:pPr>
              <w:framePr w:wrap="auto" w:vAnchor="margin" w:hAnchor="text" w:yAlign="inline"/>
              <w:widowControl w:val="0"/>
              <w:snapToGrid w:val="0"/>
              <w:jc w:val="left"/>
              <w:rPr>
                <w:rFonts w:hint="eastAsia" w:ascii="宋体" w:hAnsi="宋体" w:eastAsia="宋体" w:cs="宋体"/>
                <w:i w:val="0"/>
                <w:iCs w:val="0"/>
                <w:color w:val="auto"/>
                <w:kern w:val="2"/>
                <w:sz w:val="24"/>
                <w:szCs w:val="24"/>
                <w:u w:val="none"/>
                <w:lang w:eastAsia="zh-CN"/>
              </w:rPr>
            </w:pPr>
          </w:p>
        </w:tc>
      </w:tr>
      <w:tr w14:paraId="47A0E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9B535">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8"/>
                <w:szCs w:val="28"/>
                <w:u w:val="none"/>
                <w:lang w:eastAsia="zh-CN"/>
              </w:rPr>
            </w:pPr>
            <w:r>
              <w:rPr>
                <w:rFonts w:hint="eastAsia" w:ascii="宋体" w:hAnsi="宋体" w:eastAsia="宋体" w:cs="宋体"/>
                <w:i w:val="0"/>
                <w:iCs w:val="0"/>
                <w:color w:val="auto"/>
                <w:kern w:val="0"/>
                <w:sz w:val="28"/>
                <w:szCs w:val="28"/>
                <w:u w:val="none"/>
                <w:lang w:val="en-US" w:eastAsia="zh-CN" w:bidi="ar"/>
              </w:rPr>
              <w:t>报价单位：（盖章处）</w:t>
            </w:r>
          </w:p>
        </w:tc>
      </w:tr>
      <w:tr w14:paraId="058F9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8263">
            <w:pPr>
              <w:keepNext w:val="0"/>
              <w:keepLines w:val="0"/>
              <w:framePr w:wrap="auto" w:vAnchor="margin" w:hAnchor="text" w:yAlign="inline"/>
              <w:widowControl/>
              <w:suppressLineNumbers w:val="0"/>
              <w:snapToGrid w:val="0"/>
              <w:jc w:val="center"/>
              <w:textAlignment w:val="center"/>
              <w:rPr>
                <w:rFonts w:hint="eastAsia" w:ascii="宋体" w:hAnsi="宋体" w:eastAsia="宋体" w:cs="宋体"/>
                <w:i w:val="0"/>
                <w:iCs w:val="0"/>
                <w:color w:val="auto"/>
                <w:kern w:val="2"/>
                <w:sz w:val="28"/>
                <w:szCs w:val="28"/>
                <w:u w:val="none"/>
                <w:lang w:eastAsia="zh-CN"/>
              </w:rPr>
            </w:pPr>
            <w:r>
              <w:rPr>
                <w:rFonts w:hint="eastAsia" w:ascii="宋体" w:hAnsi="宋体" w:eastAsia="宋体" w:cs="宋体"/>
                <w:i w:val="0"/>
                <w:iCs w:val="0"/>
                <w:color w:val="auto"/>
                <w:kern w:val="0"/>
                <w:sz w:val="28"/>
                <w:szCs w:val="28"/>
                <w:u w:val="none"/>
                <w:lang w:val="en-US" w:eastAsia="zh-CN" w:bidi="ar"/>
              </w:rPr>
              <w:t>报价日期：</w:t>
            </w:r>
          </w:p>
        </w:tc>
      </w:tr>
    </w:tbl>
    <w:p w14:paraId="60B54A96">
      <w:pPr>
        <w:framePr w:wrap="auto" w:vAnchor="margin" w:hAnchor="text" w:yAlign="inline"/>
        <w:rPr>
          <w:rFonts w:hint="eastAsia" w:ascii="宋体" w:hAnsi="宋体" w:eastAsia="宋体" w:cs="宋体"/>
          <w:color w:val="auto"/>
          <w:sz w:val="20"/>
          <w:szCs w:val="20"/>
          <w:highlight w:val="none"/>
          <w:lang w:eastAsia="zh-CN"/>
        </w:rPr>
      </w:pPr>
    </w:p>
    <w:p w14:paraId="743AC661">
      <w:pPr>
        <w:framePr w:wrap="auto" w:vAnchor="margin" w:hAnchor="text" w:yAlign="inline"/>
        <w:rPr>
          <w:rFonts w:hint="eastAsia" w:ascii="宋体" w:hAnsi="宋体" w:eastAsia="宋体" w:cs="宋体"/>
          <w:color w:val="auto"/>
          <w:sz w:val="20"/>
          <w:szCs w:val="20"/>
          <w:highlight w:val="none"/>
          <w:lang w:eastAsia="zh-CN"/>
        </w:rPr>
      </w:pPr>
    </w:p>
    <w:p w14:paraId="5A678CDF">
      <w:pPr>
        <w:framePr w:wrap="auto" w:vAnchor="margin" w:hAnchor="text" w:yAlign="inline"/>
        <w:rPr>
          <w:rFonts w:hint="eastAsia" w:ascii="宋体" w:hAnsi="宋体" w:eastAsia="宋体" w:cs="宋体"/>
          <w:color w:val="auto"/>
          <w:sz w:val="20"/>
          <w:szCs w:val="20"/>
          <w:highlight w:val="none"/>
          <w:lang w:eastAsia="zh-CN"/>
        </w:rPr>
      </w:pPr>
    </w:p>
    <w:p w14:paraId="34D00D01">
      <w:pPr>
        <w:framePr w:wrap="auto" w:vAnchor="margin" w:hAnchor="text" w:yAlign="inline"/>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6698"/>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0"/>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688916EC">
      <w:pPr>
        <w:pStyle w:val="3"/>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25557"/>
      <w:r>
        <w:rPr>
          <w:rFonts w:hint="eastAsia" w:ascii="宋体" w:hAnsi="宋体" w:eastAsia="宋体" w:cs="宋体"/>
          <w:b/>
          <w:bCs/>
          <w:color w:val="auto"/>
          <w:sz w:val="32"/>
          <w:szCs w:val="32"/>
          <w:highlight w:val="none"/>
          <w:lang w:val="en-US" w:eastAsia="zh-CN"/>
        </w:rPr>
        <w:t>第五部分  合同主要条款</w:t>
      </w:r>
      <w:bookmarkEnd w:id="15"/>
    </w:p>
    <w:p w14:paraId="3E9EEE9B">
      <w:pPr>
        <w:framePr w:wrap="auto" w:vAnchor="margin" w:hAnchor="text" w:yAlign="inline"/>
        <w:widowControl w:val="0"/>
        <w:jc w:val="center"/>
        <w:rPr>
          <w:rFonts w:hint="eastAsia" w:ascii="仿宋" w:hAnsi="仿宋" w:eastAsia="仿宋" w:cs="Times New Roman"/>
          <w:b/>
          <w:color w:val="auto"/>
          <w:kern w:val="2"/>
          <w:sz w:val="36"/>
          <w:szCs w:val="36"/>
          <w:lang w:eastAsia="zh-CN"/>
        </w:rPr>
      </w:pPr>
      <w:r>
        <w:rPr>
          <w:rFonts w:hint="eastAsia" w:ascii="仿宋" w:hAnsi="仿宋" w:eastAsia="仿宋" w:cs="Times New Roman"/>
          <w:b/>
          <w:color w:val="auto"/>
          <w:kern w:val="2"/>
          <w:sz w:val="32"/>
          <w:szCs w:val="32"/>
          <w:lang w:eastAsia="zh-CN"/>
        </w:rPr>
        <w:t>综合管廊附属工程（强电工程-高压外接电部分）施工专业分包合同</w:t>
      </w:r>
    </w:p>
    <w:p w14:paraId="5CA8ED98">
      <w:pPr>
        <w:framePr w:wrap="auto" w:vAnchor="margin" w:hAnchor="text" w:yAlign="inline"/>
        <w:widowControl w:val="0"/>
        <w:spacing w:line="280" w:lineRule="exact"/>
        <w:ind w:right="630"/>
        <w:jc w:val="right"/>
        <w:rPr>
          <w:rFonts w:hint="eastAsia" w:ascii="仿宋" w:hAnsi="仿宋" w:eastAsia="仿宋" w:cs="Times New Roman"/>
          <w:color w:val="auto"/>
          <w:kern w:val="2"/>
          <w:sz w:val="24"/>
          <w:lang w:eastAsia="zh-CN"/>
        </w:rPr>
      </w:pPr>
    </w:p>
    <w:p w14:paraId="3DB9E811">
      <w:pPr>
        <w:framePr w:wrap="auto" w:vAnchor="margin" w:hAnchor="text" w:yAlign="inline"/>
        <w:widowControl w:val="0"/>
        <w:spacing w:line="360" w:lineRule="auto"/>
        <w:ind w:right="180"/>
        <w:jc w:val="righ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分包合同编号：</w:t>
      </w:r>
    </w:p>
    <w:p w14:paraId="76E282B6">
      <w:pPr>
        <w:framePr w:wrap="auto" w:vAnchor="margin" w:hAnchor="text" w:yAlign="inline"/>
        <w:widowControl w:val="0"/>
        <w:spacing w:line="360" w:lineRule="auto"/>
        <w:ind w:left="1200" w:hanging="1200" w:hangingChars="5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工程项目：</w:t>
      </w:r>
    </w:p>
    <w:p w14:paraId="081E90B7">
      <w:pPr>
        <w:framePr w:wrap="auto" w:vAnchor="margin" w:hAnchor="text" w:yAlign="inline"/>
        <w:widowControl w:val="0"/>
        <w:spacing w:line="360" w:lineRule="auto"/>
        <w:ind w:left="1200" w:hanging="1200" w:hangingChars="5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合同段：</w:t>
      </w:r>
    </w:p>
    <w:p w14:paraId="772EBE55">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甲方(总承包人) ：</w:t>
      </w:r>
    </w:p>
    <w:p w14:paraId="719C7F60">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乙方(分包人) ：</w:t>
      </w:r>
    </w:p>
    <w:p w14:paraId="55F37A08">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p>
    <w:p w14:paraId="22EF1023">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依照《中华人民共和国民法典》及其他有关法律、法规和规章，遵循平等、自愿、公平和诚实信用的原则，鉴于甲方与</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以下简称“业主”）签订《设计施工总承包合同文件》（以下简称“主合同”），由乙方承担本标段的部份分项工程，为明确双方权利、义务、责任，甲乙双方就分包专项工程施工事项具体情况，经协商达成一致，订立本合同。</w:t>
      </w:r>
    </w:p>
    <w:p w14:paraId="1E21C6B7">
      <w:pPr>
        <w:framePr w:wrap="auto" w:vAnchor="margin" w:hAnchor="text" w:yAlign="inline"/>
        <w:widowControl w:val="0"/>
        <w:spacing w:line="360" w:lineRule="auto"/>
        <w:ind w:firstLine="482"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1.分包人情况</w:t>
      </w:r>
    </w:p>
    <w:p w14:paraId="7CDB3E6C">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1.1分包人名称：</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；注册地址：</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w:t>
      </w:r>
    </w:p>
    <w:p w14:paraId="687C6F50">
      <w:pPr>
        <w:framePr w:wrap="auto" w:vAnchor="margin" w:hAnchor="text" w:yAlign="inline"/>
        <w:widowControl w:val="0"/>
        <w:spacing w:line="360" w:lineRule="auto"/>
        <w:ind w:firstLine="720" w:firstLineChars="3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法定代表人姓名：</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，职称：</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，职务：</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w:t>
      </w:r>
    </w:p>
    <w:p w14:paraId="028740DF">
      <w:pPr>
        <w:framePr w:wrap="auto" w:vAnchor="margin" w:hAnchor="text" w:yAlign="inline"/>
        <w:widowControl w:val="0"/>
        <w:spacing w:line="360" w:lineRule="auto"/>
        <w:ind w:left="787" w:leftChars="228" w:hanging="240" w:hangingChars="1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1.2分包项目负责人姓名：</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，职称：</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，资格：</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w:t>
      </w:r>
    </w:p>
    <w:p w14:paraId="76B9C47D">
      <w:pPr>
        <w:framePr w:wrap="auto" w:vAnchor="margin" w:hAnchor="text" w:yAlign="inline"/>
        <w:widowControl w:val="0"/>
        <w:spacing w:line="360" w:lineRule="auto"/>
        <w:ind w:left="787" w:leftChars="228" w:hanging="240" w:hangingChars="1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分包技术负责人姓名：</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，职称：</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，资格：</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w:t>
      </w:r>
    </w:p>
    <w:p w14:paraId="5E03344F">
      <w:pPr>
        <w:framePr w:wrap="auto" w:vAnchor="margin" w:hAnchor="text" w:yAlign="inline"/>
        <w:widowControl w:val="0"/>
        <w:spacing w:line="360" w:lineRule="auto"/>
        <w:ind w:left="787" w:leftChars="228" w:hanging="240" w:hangingChars="100"/>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分包质量负责人姓名：</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，职称：</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，资格：</w:t>
      </w:r>
      <w:r>
        <w:rPr>
          <w:rFonts w:hint="eastAsia" w:ascii="仿宋" w:hAnsi="仿宋" w:eastAsia="仿宋" w:cs="Times New Roman"/>
          <w:color w:val="auto"/>
          <w:kern w:val="2"/>
          <w:sz w:val="24"/>
          <w:u w:val="single"/>
          <w:lang w:val="en-US" w:eastAsia="zh-CN"/>
        </w:rPr>
        <w:t xml:space="preserve">     </w:t>
      </w:r>
    </w:p>
    <w:p w14:paraId="7C82CDCC">
      <w:pPr>
        <w:framePr w:wrap="auto" w:vAnchor="margin" w:hAnchor="text" w:yAlign="inline"/>
        <w:widowControl w:val="0"/>
        <w:spacing w:line="360" w:lineRule="auto"/>
        <w:ind w:left="787" w:leftChars="228" w:hanging="240" w:hangingChars="100"/>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分包安全员姓名：</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，职称：</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，资格：</w:t>
      </w:r>
      <w:r>
        <w:rPr>
          <w:rFonts w:hint="eastAsia" w:ascii="仿宋" w:hAnsi="仿宋" w:eastAsia="仿宋" w:cs="Times New Roman"/>
          <w:color w:val="auto"/>
          <w:kern w:val="2"/>
          <w:sz w:val="24"/>
          <w:u w:val="single"/>
          <w:lang w:val="en-US" w:eastAsia="zh-CN"/>
        </w:rPr>
        <w:t xml:space="preserve">     </w:t>
      </w:r>
    </w:p>
    <w:p w14:paraId="37C55C7D">
      <w:pPr>
        <w:framePr w:wrap="auto" w:vAnchor="margin" w:hAnchor="text" w:yAlign="inline"/>
        <w:widowControl w:val="0"/>
        <w:spacing w:line="360" w:lineRule="auto"/>
        <w:ind w:left="787" w:leftChars="228" w:hanging="240" w:hangingChars="100"/>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分包财务会计姓名：</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，职称：</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，资格：</w:t>
      </w:r>
      <w:r>
        <w:rPr>
          <w:rFonts w:hint="eastAsia" w:ascii="仿宋" w:hAnsi="仿宋" w:eastAsia="仿宋" w:cs="Times New Roman"/>
          <w:color w:val="auto"/>
          <w:kern w:val="2"/>
          <w:sz w:val="24"/>
          <w:u w:val="single"/>
          <w:lang w:val="en-US" w:eastAsia="zh-CN"/>
        </w:rPr>
        <w:t xml:space="preserve">     </w:t>
      </w:r>
    </w:p>
    <w:p w14:paraId="4269BF98">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2.分包专项工程概况</w:t>
      </w:r>
    </w:p>
    <w:p w14:paraId="28909924">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2.1分包专项工程名称及地点：</w:t>
      </w:r>
      <w:r>
        <w:rPr>
          <w:rFonts w:hint="eastAsia" w:ascii="仿宋" w:hAnsi="仿宋" w:eastAsia="仿宋" w:cs="Times New Roman"/>
          <w:color w:val="auto"/>
          <w:kern w:val="2"/>
          <w:sz w:val="24"/>
          <w:u w:val="single"/>
          <w:lang w:val="en-US" w:eastAsia="zh-CN"/>
        </w:rPr>
        <w:t xml:space="preserve">                 </w:t>
      </w:r>
    </w:p>
    <w:p w14:paraId="7259F4D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2.2 分包专项工程范围、内容：</w:t>
      </w:r>
      <w:r>
        <w:rPr>
          <w:rFonts w:hint="eastAsia" w:ascii="仿宋" w:hAnsi="仿宋" w:eastAsia="仿宋" w:cs="Times New Roman"/>
          <w:color w:val="auto"/>
          <w:kern w:val="2"/>
          <w:sz w:val="24"/>
          <w:u w:val="single"/>
          <w:lang w:val="en-US" w:eastAsia="zh-CN"/>
        </w:rPr>
        <w:t xml:space="preserve">                 </w:t>
      </w:r>
    </w:p>
    <w:p w14:paraId="4449BA1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2.2.1分包范围和工作内容：负责完成</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的工程施工作业。具体工程数量见</w:t>
      </w:r>
      <w:bookmarkStart w:id="16" w:name="OLE_LINK1"/>
      <w:r>
        <w:rPr>
          <w:rFonts w:hint="eastAsia" w:ascii="仿宋" w:hAnsi="仿宋" w:eastAsia="仿宋" w:cs="Times New Roman"/>
          <w:color w:val="auto"/>
          <w:kern w:val="2"/>
          <w:sz w:val="24"/>
          <w:lang w:eastAsia="zh-CN"/>
        </w:rPr>
        <w:t>附</w:t>
      </w:r>
      <w:bookmarkEnd w:id="16"/>
      <w:r>
        <w:rPr>
          <w:rFonts w:hint="eastAsia" w:ascii="仿宋" w:hAnsi="仿宋" w:eastAsia="仿宋" w:cs="Times New Roman"/>
          <w:color w:val="auto"/>
          <w:kern w:val="2"/>
          <w:sz w:val="24"/>
          <w:lang w:eastAsia="zh-CN"/>
        </w:rPr>
        <w:t>表1：《分包专项工程工程量清单》，清单数量为暂定数量，清单单价为暂定综合单价，实际数量按业主批复内实际完成数量且经甲乙双方确认的结算数量为准，单价最终以财政审核单价下浮</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w:t>
      </w:r>
      <w:r>
        <w:rPr>
          <w:rFonts w:hint="eastAsia" w:ascii="仿宋" w:hAnsi="仿宋" w:eastAsia="仿宋" w:cs="Times New Roman"/>
          <w:color w:val="auto"/>
          <w:kern w:val="2"/>
          <w:sz w:val="24"/>
          <w:lang w:eastAsia="zh-CN"/>
        </w:rPr>
        <w:t>为本合同结算单价，</w:t>
      </w:r>
      <w:r>
        <w:rPr>
          <w:rFonts w:hint="eastAsia" w:ascii="仿宋" w:hAnsi="仿宋" w:eastAsia="仿宋" w:cs="Times New Roman"/>
          <w:b/>
          <w:color w:val="auto"/>
          <w:kern w:val="2"/>
          <w:sz w:val="24"/>
          <w:lang w:eastAsia="zh-CN"/>
        </w:rPr>
        <w:t>中间计量及最终结算应由甲方项目经理签字，非上述人员签字的，甲方不予认可。</w:t>
      </w:r>
    </w:p>
    <w:p w14:paraId="09B619E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2.2.2 乙方负责按本合同约定的分包范围内除甲方负责外的一切施工作业。包括但不限于从进场施工准备、施工全过程到完工交验，缺陷责任期内属乙方缺陷责任的缺陷修复到竣工验收所需的全部施工工作，以及完成前述工作所需的内、外业管理、相关的地方协调工作和必要的未列入清单的临时工程等。</w:t>
      </w:r>
    </w:p>
    <w:p w14:paraId="2F15F25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2.3 分包方式：</w:t>
      </w:r>
    </w:p>
    <w:p w14:paraId="7803E32D">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2.3.1本合同采用分项清单暂定综合单价包干的分包方式，综合单价见附表1：《分包专项工程工程量清单》中的单价为准，工程数量按照本合同计量、支付和结算条款确定。</w:t>
      </w:r>
    </w:p>
    <w:p w14:paraId="7658C4F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2.3.2乙方不得以任何形式对本合同工程进行分包、转包。</w:t>
      </w:r>
    </w:p>
    <w:p w14:paraId="7166AB30">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3.分包合同有关款项</w:t>
      </w:r>
    </w:p>
    <w:p w14:paraId="3B430A67">
      <w:pPr>
        <w:framePr w:wrap="auto" w:vAnchor="margin" w:hAnchor="text" w:yAlign="inline"/>
        <w:widowControl w:val="0"/>
        <w:spacing w:line="360" w:lineRule="auto"/>
        <w:ind w:firstLine="482" w:firstLineChars="200"/>
        <w:jc w:val="both"/>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3.1分包价款</w:t>
      </w:r>
    </w:p>
    <w:p w14:paraId="11C02811">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3.1.1本合同为暂定综合单价合同，合同暂定总价为人民币</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元（大写：</w:t>
      </w:r>
    </w:p>
    <w:p w14:paraId="6ADFF9E6">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），其中不含增值税总价</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元（大写：</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），增值税</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元（大写：</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），增值税按不含增值税总价的</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w:t>
      </w:r>
      <w:r>
        <w:rPr>
          <w:rFonts w:hint="eastAsia" w:ascii="仿宋" w:hAnsi="仿宋" w:eastAsia="仿宋" w:cs="Times New Roman"/>
          <w:color w:val="auto"/>
          <w:kern w:val="2"/>
          <w:sz w:val="24"/>
          <w:lang w:eastAsia="zh-CN"/>
        </w:rPr>
        <w:t>单列</w:t>
      </w:r>
      <w:r>
        <w:rPr>
          <w:rFonts w:hint="eastAsia" w:ascii="仿宋" w:hAnsi="仿宋" w:eastAsia="仿宋" w:cs="宋体"/>
          <w:b w:val="0"/>
          <w:bCs/>
          <w:color w:val="auto"/>
          <w:kern w:val="2"/>
          <w:sz w:val="24"/>
          <w:lang w:eastAsia="zh-CN"/>
        </w:rPr>
        <w:t>（增值税税率随国家政策和适用税率同步调整）</w:t>
      </w:r>
      <w:r>
        <w:rPr>
          <w:rFonts w:hint="eastAsia" w:ascii="仿宋" w:hAnsi="仿宋" w:eastAsia="仿宋" w:cs="Times New Roman"/>
          <w:color w:val="auto"/>
          <w:kern w:val="2"/>
          <w:sz w:val="24"/>
          <w:lang w:eastAsia="zh-CN"/>
        </w:rPr>
        <w:t>；本合同暂定总价不作为双方最终结算的依据。合同暂定单价和暂估数量见附表1：《分包专项工程工程量清单》。实际合同总价根据乙方实际完成，由甲方确认并经监理人签认的数量按财政最终审核单价进行计算，并结合本合同条款进行结算支付。</w:t>
      </w:r>
    </w:p>
    <w:p w14:paraId="1EF1983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3.1.2上述合同单价已包括了乙方为实施和完成上述工程量清单细目内容及其附属工作及缺陷修复工作所发生的一切费用，以及合同明示或暗示的一切风险、责任和义务。涉及工程量清单中未列的子目，其费用参照总包合同相关计量有关条款办理。</w:t>
      </w:r>
    </w:p>
    <w:p w14:paraId="03E976AF">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3.1.3本合同计价清单综合单价和不含增值税总价包括：人工费、机械费、材料费（甲供部分除外）、措施费（供电局对接、电勘图纸等措施费）、保险费、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本合同综合单价已经充分考虑了各种可能影响正常施工的因素以及市场风险，除甲乙双方协商一致签订书面变更协议外，本合同综合单价不因任何原因而调整。</w:t>
      </w:r>
    </w:p>
    <w:p w14:paraId="0828B3D2">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关于采用其他方式调整合同价款的约定：以总包单位和业主签订的《设计施工总承包合同文件》条款中的13.8执行。</w:t>
      </w:r>
    </w:p>
    <w:p w14:paraId="26A1822F">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分包单价申请单价价差需准备证明材料，包括但不限于：材料采购合同、支付流水、送货单、发票、监理验收单等相关证据资料，如分包单位提供相关材料存在不足、造假、虚报等情形经甲方审计发现前述问题，甲方有权要求乙方支付虚报金额双倍的违约金；如涉及金额较大，甲方将采取包括向公安部门进行刑事报案等在内的措施以保护甲方合法权益。</w:t>
      </w:r>
    </w:p>
    <w:p w14:paraId="2CFBDC4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市场材料价格浮动的单价价差支付时间，以总包单位收到业主单价价差款的前提下对分包进行支付。</w:t>
      </w:r>
    </w:p>
    <w:p w14:paraId="6EB6C63D">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因工程变更导致新的工程项目出现时，变更部分工程的综合单价按以下原则确定：</w:t>
      </w:r>
    </w:p>
    <w:p w14:paraId="6A55B71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3.1.4变更工程项目在附表1：《分包专项工程工程量清单》中有相对应项目的，套用附表1《分包专项工程工程量清单》中相应项目的综合单价执行。</w:t>
      </w:r>
    </w:p>
    <w:p w14:paraId="1F47633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3.1.5变更工程项目在附表1《分包专项工程工程量清单》中没有相对应项目的，以经双方确认的该项目的成本加合理的利润、税金作为综合单价。</w:t>
      </w:r>
    </w:p>
    <w:p w14:paraId="2916E3E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3.1.6当乙方在甲方要求下实施合同清单外的项目即变更工程或者本合同实际施工的数量已经超过合同清单数量时，甲乙双方必须签订补充协议。</w:t>
      </w:r>
    </w:p>
    <w:p w14:paraId="54C22F4E">
      <w:pPr>
        <w:framePr w:wrap="auto" w:vAnchor="margin" w:hAnchor="text" w:yAlign="inline"/>
        <w:widowControl w:val="0"/>
        <w:spacing w:line="360" w:lineRule="auto"/>
        <w:ind w:firstLine="482" w:firstLineChars="200"/>
        <w:jc w:val="both"/>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3.2履约保函或保留金：</w:t>
      </w:r>
    </w:p>
    <w:p w14:paraId="2EC8519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3.2.1乙方与甲方签订合同后的</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天内，应向甲方交纳</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：（a 履约保函；b履约保证金），即：</w:t>
      </w:r>
    </w:p>
    <w:p w14:paraId="2774ED4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a.分包合同价的</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％履约保函。</w:t>
      </w:r>
    </w:p>
    <w:p w14:paraId="1FB9F3C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b.分包合同价的</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％保留金计</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元。</w:t>
      </w:r>
    </w:p>
    <w:p w14:paraId="6D98684D">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3.2.2乙方严格履行了本合同规定的各项事宜，施工任务如期完工，工程质量达到甲方向发包人承诺的质量要求，无安全责任事故发生，未遗留各种纠纷，在本合同履行完毕后，给予全额退还保留金，否则甲方继续扣留或扣除部分或全部保留金。</w:t>
      </w:r>
    </w:p>
    <w:p w14:paraId="08672A15">
      <w:pPr>
        <w:framePr w:wrap="auto" w:vAnchor="margin" w:hAnchor="text" w:yAlign="inline"/>
        <w:widowControl w:val="0"/>
        <w:spacing w:line="360" w:lineRule="auto"/>
        <w:ind w:firstLine="482" w:firstLineChars="200"/>
        <w:jc w:val="both"/>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3.3有关本分包专项工程款项约定</w:t>
      </w:r>
    </w:p>
    <w:p w14:paraId="0876015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3.3.1若在缺陷责任期内发生涉及乙方施工项目的维修费用，则由乙方全额承担，并在保留金中扣除。</w:t>
      </w:r>
    </w:p>
    <w:p w14:paraId="3B2AB049">
      <w:pPr>
        <w:framePr w:wrap="auto" w:vAnchor="margin" w:hAnchor="text" w:yAlign="inline"/>
        <w:widowControl w:val="0"/>
        <w:spacing w:line="360" w:lineRule="auto"/>
        <w:ind w:firstLine="480" w:firstLineChars="200"/>
        <w:jc w:val="both"/>
        <w:rPr>
          <w:rFonts w:hint="eastAsia" w:ascii="仿宋" w:hAnsi="仿宋" w:eastAsia="仿宋" w:cs="Times New Roman"/>
          <w:bCs/>
          <w:color w:val="auto"/>
          <w:kern w:val="2"/>
          <w:sz w:val="24"/>
          <w:lang w:eastAsia="zh-CN"/>
        </w:rPr>
      </w:pPr>
      <w:r>
        <w:rPr>
          <w:rFonts w:hint="eastAsia" w:ascii="仿宋" w:hAnsi="仿宋" w:eastAsia="仿宋" w:cs="Times New Roman"/>
          <w:color w:val="auto"/>
          <w:kern w:val="2"/>
          <w:sz w:val="24"/>
          <w:lang w:eastAsia="zh-CN"/>
        </w:rPr>
        <w:t>3.3.2安全生产费用按总包合同的专用条款的规定进行计量支付，按实投入使用，</w:t>
      </w:r>
      <w:r>
        <w:rPr>
          <w:rFonts w:hint="eastAsia" w:ascii="仿宋" w:hAnsi="仿宋" w:eastAsia="仿宋" w:cs="Times New Roman"/>
          <w:bCs/>
          <w:color w:val="auto"/>
          <w:kern w:val="2"/>
          <w:sz w:val="24"/>
          <w:lang w:eastAsia="zh-CN"/>
        </w:rPr>
        <w:t>承建工程竣工后，最终由甲乙双方结算。</w:t>
      </w:r>
    </w:p>
    <w:p w14:paraId="326F4B5E">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3.3.3工人工资支付保证金按项目专用条款或发包人规定的比例在计量支付时提取，在乙方项目完工并出具无拖欠工人工资承诺后退还。</w:t>
      </w:r>
    </w:p>
    <w:p w14:paraId="2FA32551">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3.3.4本合同约定的所有保证金、保留金等到期无争议需要返还的，均不计利息。</w:t>
      </w:r>
    </w:p>
    <w:p w14:paraId="66694B53">
      <w:pPr>
        <w:framePr w:wrap="auto" w:vAnchor="margin" w:hAnchor="text" w:yAlign="inline"/>
        <w:widowControl w:val="0"/>
        <w:spacing w:before="156" w:beforeLines="50" w:line="360" w:lineRule="auto"/>
        <w:ind w:firstLine="482"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4．双方责任</w:t>
      </w:r>
    </w:p>
    <w:p w14:paraId="4CB3CB4E">
      <w:pPr>
        <w:framePr w:wrap="auto" w:vAnchor="margin" w:hAnchor="text" w:yAlign="inline"/>
        <w:widowControl w:val="0"/>
        <w:adjustRightInd w:val="0"/>
        <w:snapToGrid w:val="0"/>
        <w:spacing w:line="360" w:lineRule="auto"/>
        <w:ind w:firstLine="482" w:firstLineChars="200"/>
        <w:jc w:val="both"/>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4.1甲方的责任：</w:t>
      </w:r>
    </w:p>
    <w:p w14:paraId="1E970BE7">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4.1.1负责协调与业主和有关单位的关系。</w:t>
      </w:r>
    </w:p>
    <w:p w14:paraId="045766CB">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4.1.2负责提供有关的图纸，技术规范，提供合格的控制桩和水准点，做好施工技术交底和工程验收工作。</w:t>
      </w:r>
    </w:p>
    <w:p w14:paraId="49725C4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4.1.3负责按时提供为完成本合同约定的分项工程所需的原材料、半成品料、周转材料等由甲方负责的事项，验收乙方自购材料质量。</w:t>
      </w:r>
    </w:p>
    <w:p w14:paraId="283B16F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4.1.4负责本标段的控制测量，提交合格的控制点给乙方；取样、试块制作等工作乙方有义务配合。</w:t>
      </w:r>
    </w:p>
    <w:p w14:paraId="7C7525F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4.1.5按合同要求进行计量、结算、支付。</w:t>
      </w:r>
    </w:p>
    <w:p w14:paraId="1D946DE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4.1.6对乙方的工程质量、安全、进度、工程款进行严格的监督控制，派施工员负责现场协调管理、工程验收等工作。</w:t>
      </w:r>
    </w:p>
    <w:p w14:paraId="579E428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4.1.7执行本分包合同条款，依据项目总体施工组织设计对其施工全过程统一指挥与管理，组织施工调度会及生产例会，下达生产计划，合理安排乙方的各项工作。</w:t>
      </w:r>
    </w:p>
    <w:p w14:paraId="0728F32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4.1.8安全生产管理责任按本合同第10条和《安全生产协议》《安全生产责任书》执行。</w:t>
      </w:r>
    </w:p>
    <w:p w14:paraId="43DDBF63">
      <w:pPr>
        <w:framePr w:wrap="auto" w:vAnchor="margin" w:hAnchor="text" w:yAlign="inline"/>
        <w:widowControl w:val="0"/>
        <w:adjustRightInd w:val="0"/>
        <w:snapToGrid w:val="0"/>
        <w:spacing w:line="360" w:lineRule="auto"/>
        <w:ind w:firstLine="482" w:firstLineChars="200"/>
        <w:jc w:val="both"/>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4.2乙方的责任：</w:t>
      </w:r>
    </w:p>
    <w:p w14:paraId="3D761C5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4.2.1按甲方的要求配备相应的机械和人员，服从甲方的调度指挥，完成合同范围的施工任务。</w:t>
      </w:r>
    </w:p>
    <w:p w14:paraId="72DC92B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需成立健全的组织机构，配备“项目经理、现场副经理、总工”以及“工程技术、测量、安全质量、环保、物资、设备、计量、财务、试验”等相应管理和技术人员，主要人员资质需符合甲方要求。乙方应将组织机构及人员情况（需注明姓名、性别、年龄、职务、职称、学历证书、从业资格证书、业绩、身份证号码、电话号码等）报送甲方备案，同时按甲方要求提供相应证件供建设、监理单位核查，并在施工中保持稳定。施工过程中，接受甲方对相关人员的考核和评估，对认定为不适合的管理人员，限期内执行完毕甲方的更换指令。除甲方更换指令外，不得随意变更，如有更换，必须事先征得甲方书面同意。</w:t>
      </w:r>
    </w:p>
    <w:p w14:paraId="4780924E">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乙方应根据工程要求配备试验人员。乙方自行购置现场试验检测器具并完成本段内现场试验检测工作；乙方的外委试验费用由乙方自行承担；乙方需负责本合同工程业主发试验表格费用，发生金额由甲方代扣。</w:t>
      </w:r>
    </w:p>
    <w:p w14:paraId="5F46646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乙方主要管理人员（项目负责人、技术负责人）必须坚守工地，严格请销假制度，未经甲方同意，乙方主要人员擅离工作岗位，处以</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元/人·日的违约金。</w:t>
      </w:r>
    </w:p>
    <w:p w14:paraId="48C7641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服从甲方管理，参加甲方组织的各种工程施工会议和甲方开展的工程管理活动，否则，甲方有权要求乙方支付违约金。</w:t>
      </w:r>
    </w:p>
    <w:p w14:paraId="46FEB4FA">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在施工中及时按甲方要求调整生产要素，并在规定时间内上报各种文件、资料和报表。</w:t>
      </w:r>
    </w:p>
    <w:p w14:paraId="7DF9342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4.2.2严格按图纸和技术规范施工，确保质量、进度符合要求。</w:t>
      </w:r>
    </w:p>
    <w:p w14:paraId="6AC1AC76">
      <w:pPr>
        <w:framePr w:wrap="auto" w:vAnchor="margin" w:hAnchor="text" w:yAlign="inline"/>
        <w:widowControl w:val="0"/>
        <w:adjustRightInd w:val="0"/>
        <w:snapToGrid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4.2.3接受监理工程师和有关质量监督部门对工程质量的监督检查；负责做好迎接各项检查的现场准备工作，其费用已包含在清单单价中。检查中如被批评、处罚，责任和费用全部由乙方承担。</w:t>
      </w:r>
    </w:p>
    <w:p w14:paraId="700E1147">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4.2.4施工过程中做好原始资料的记录和数据整理，及时移交给甲方，配合甲方做好竣工资料。</w:t>
      </w:r>
    </w:p>
    <w:p w14:paraId="221BEE2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乙方应积极配合甲方进行结算，及时提供相应资料，因“乙方原因造成计量不能按时批复”或者“建设单位资金不足”，工程款支付不到位，乙方必须自行解决资金问题，确保工期目标的实现，并承担全部责任。</w:t>
      </w:r>
    </w:p>
    <w:p w14:paraId="2E9E4B4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4.2.5对于甲供材，乙方领料用料必须办理相应的领料用料手续，领取、装卸、运输、仓储等全部费用，由乙方自行承担。如报价中含材料价，领用的材料款从工程款中扣回。每月结算时，配合甲方进行甲供料的核算，并按合同条款的约定承担全部费用。所有材料损耗率必须控制在允许的范围内，否则将在当期工程计量中扣除。</w:t>
      </w:r>
    </w:p>
    <w:p w14:paraId="38540C9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4.2.6自购的材料必须符合甲方要求，并按甲方要求办理相关手续。施工图纸、技术规范有技术标准要求的自购材料，乙方必须通知甲方验收合格方可使用。</w:t>
      </w:r>
    </w:p>
    <w:p w14:paraId="6FDD5EC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4.2.7负责本合同附表1《分包专项工程工程量清单》规定的施工用水、用电及驻地和施工必要的临时工程建设。合同工程完工后，乙方应立即进行现场清理、清除不用的设备、多余材料、建筑垃圾以及各种临时设施，保持现场的整洁、美观，费用已包含在清单综合单价中。如乙方未按要求进行清理恢复或虽进行了清理恢复但未达到地方规定或合同约定的标准，甲方有权自行或委托第三方对其进行清理恢复，所发生的费用将从应付给乙方的任何款项内扣除，并有权对乙方实施经济处罚。在施工过程中如乙方员工发生交通事故及其他治安原因所造成乙方员工或第三方人员伤亡事故，由乙方负责承担一切后果及所有费用。</w:t>
      </w:r>
    </w:p>
    <w:p w14:paraId="0FA247D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4.2.8安全生产管理责任按本合同第10条和《安全生产协议》《安全生产责任书》执行。</w:t>
      </w:r>
    </w:p>
    <w:p w14:paraId="2155147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4.2.9负责本段的控制点以外的测量工作及试验辅助工作，提供相关现场内业资料，并接受甲方的监督、检查、指导。</w:t>
      </w:r>
    </w:p>
    <w:p w14:paraId="14FC60E8">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4.2.10负责协调本施工段的地方关系。地方治安协调费及工人调配管理费等由乙方承担。</w:t>
      </w:r>
    </w:p>
    <w:p w14:paraId="0AB0B04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4.2.11乙方须按国家有关规定和劳动合同的约定，每月按时向其所管理的员工发放工资，并将发放记录报甲方施工项目部备案。详见本合同第11条劳动关系管理条款。</w:t>
      </w:r>
    </w:p>
    <w:p w14:paraId="722C8595">
      <w:pPr>
        <w:framePr w:wrap="auto" w:vAnchor="margin" w:hAnchor="text" w:yAlign="inline"/>
        <w:widowControl w:val="0"/>
        <w:adjustRightInd w:val="0"/>
        <w:snapToGrid w:val="0"/>
        <w:spacing w:line="360" w:lineRule="auto"/>
        <w:ind w:left="137" w:leftChars="57"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4.2.12应满足甲方安全管理体系的要求。其费用已包含在清单单价中，如乙方不能按照甲方的要求实施，甲方将扣除该部分费用，其费用占合同总价的1%。</w:t>
      </w:r>
    </w:p>
    <w:p w14:paraId="5DF35B05">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4.2.13乙方必须自费为其在本工程雇用的员工办理意外险、工伤保险及社会劳动保险等。详见本合同第12条保险条款。</w:t>
      </w:r>
    </w:p>
    <w:p w14:paraId="088C01C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4.2.14乙方在施工过程中，必须做好有效的环境保护措施， 详见本合同第13.5条文明施工条款。</w:t>
      </w:r>
    </w:p>
    <w:p w14:paraId="4C486458">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4.2.15乙方应自行组织工程施工，不得将工程转包或分包，否则甲方有权终止合同，乙方承担违约责任。</w:t>
      </w:r>
    </w:p>
    <w:p w14:paraId="1C06F0C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乙方负责本合同承包范围内工程的实施、完成及缺陷修复等工作并承担相应费用，接受甲方的领导、整体协调以及施工中的监督、指令、检查。</w:t>
      </w:r>
    </w:p>
    <w:p w14:paraId="79408761">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缺陷责任期及缺陷责任期的工程维护依据业主规定，质量保修金依据业主规定；乙方需负责施工资料及竣工资料的收集整理，并及时上报甲方；责任期内，工程需要维修时，乙方应负责维修施工用的照明、看守围栏和警示等防护设施，并对所造成的环境污染或道路损毁等全部费用负责。</w:t>
      </w:r>
    </w:p>
    <w:p w14:paraId="6E827C42">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乙方应严格地按合同文件规定承担本合同工程的实施、完成、维护及缺陷的修复；甲方不承担任何停工及窝工损失费；由于建设单位原因造成的停工或窝工，乙方配合甲方向建设单位争取费用补偿。</w:t>
      </w:r>
    </w:p>
    <w:p w14:paraId="71EE17E8">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4.2.16乙方委派专人（有乙方的授权委托书）与甲方办理各种涉及合同、经济、财务等方面的手续。</w:t>
      </w:r>
    </w:p>
    <w:p w14:paraId="3056BCE3">
      <w:pPr>
        <w:framePr w:wrap="auto" w:vAnchor="margin" w:hAnchor="text" w:yAlign="inline"/>
        <w:widowControl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4.2.17乙方可以直接雇用工人，但必须依法签订用工合同，并将“工人用工合同”及“工人花名册”报甲方备案。乙方按照法律、法规和劳务用工合同按时支付劳务工资，落实各项劳动保护措施。承担拖欠工人工资所引发的全部法律及经济责任。</w:t>
      </w:r>
    </w:p>
    <w:p w14:paraId="1C1B915D">
      <w:pPr>
        <w:framePr w:wrap="auto" w:vAnchor="margin" w:hAnchor="text" w:yAlign="inline"/>
        <w:widowControl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4.2.18乙方接受甲方按相关规定向乙方开出的违约金，甲方可直接从“认为合适”的任何一个“期中支付月份”中“应付工程款中”直接扣除。甲方向乙方开出的任何违约金将导致乙方最终的应得结算价款相应地减少。</w:t>
      </w:r>
    </w:p>
    <w:p w14:paraId="2E7BE9A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4.2.19乙方在施工中与第三方产生的债权债务及纠纷等问题由乙方自行负责处理，并承担全部责任和费用。</w:t>
      </w:r>
    </w:p>
    <w:p w14:paraId="3DA0E934">
      <w:pPr>
        <w:framePr w:wrap="auto" w:vAnchor="margin" w:hAnchor="text" w:yAlign="inline"/>
        <w:widowControl w:val="0"/>
        <w:spacing w:line="400" w:lineRule="exact"/>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4.2.20遵守法律法规和甲方公司制度要求。</w:t>
      </w:r>
    </w:p>
    <w:p w14:paraId="3DA50CF2">
      <w:pPr>
        <w:framePr w:wrap="auto" w:vAnchor="margin" w:hAnchor="text" w:yAlign="inline"/>
        <w:widowControl w:val="0"/>
        <w:spacing w:before="156" w:beforeLines="50" w:line="400" w:lineRule="exact"/>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5 合同工期和要求</w:t>
      </w:r>
    </w:p>
    <w:p w14:paraId="6769F7B4">
      <w:pPr>
        <w:framePr w:wrap="auto" w:vAnchor="margin" w:hAnchor="text" w:yAlign="inline"/>
        <w:widowControl w:val="0"/>
        <w:spacing w:before="156" w:beforeLines="50"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5.1根据甲方的总体施工计划要求，乙方完成分包专项工程的合同工期预计为</w:t>
      </w:r>
    </w:p>
    <w:p w14:paraId="56DAF6F1">
      <w:pPr>
        <w:framePr w:wrap="auto" w:vAnchor="margin" w:hAnchor="text" w:yAlign="inline"/>
        <w:widowControl w:val="0"/>
        <w:spacing w:before="156" w:beforeLines="50" w:line="360" w:lineRule="auto"/>
        <w:jc w:val="both"/>
        <w:rPr>
          <w:rFonts w:hint="eastAsia" w:ascii="仿宋" w:hAnsi="仿宋" w:eastAsia="仿宋" w:cs="Times New Roman"/>
          <w:b/>
          <w:color w:val="auto"/>
          <w:kern w:val="2"/>
          <w:sz w:val="24"/>
          <w:lang w:eastAsia="zh-CN"/>
        </w:rPr>
      </w:pP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个月，开工日期以甲方通知乙方进场日期为准,完工日期以乙方完成甲方指定的工作为止。</w:t>
      </w:r>
    </w:p>
    <w:p w14:paraId="358D9DE7">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5.2甲方有权随时了解乙方的工程进展，乙方应在甲方管理人员指导下，按甲方施工进度计划，提前做好各项准备工作，不得延误下一道工序施工，保质保量完成本工程项目。</w:t>
      </w:r>
    </w:p>
    <w:p w14:paraId="79300DF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5.3施工过程中乙方应根据甲方指派的施工任务及甲方的进度计划合理安排人员、机械设备、周转材等的进场，避免因拖延工期带来的成本增加。因乙方的原因导致工期延误造成成本增加或其他损失由乙方承担，甲方不承担相关责任。</w:t>
      </w:r>
    </w:p>
    <w:p w14:paraId="14C82F2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5.4如因乙方原因未能按时开工或延误工期，由此引起的损失由乙方承担，必要时，甲方有权单方面终止合同。因发包人原因或不可抗力造成的工期延误，可按照发包人同意的相应工期予以顺延。</w:t>
      </w:r>
    </w:p>
    <w:p w14:paraId="15BF09EA">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5.5缺陷责任期为业主签发竣工验收证书之日起计2年。在缺陷责任期内的缺陷维修，如属于乙方责任的，乙方在接到甲方通知3天内派人在指定时间内自费更换或修补，否则，甲方将另行组织队伍进行更换或修补，所发生的费用将在乙方的保留金或未收款项中扣除，同时不免除乙方对完工项目质量应负的全部责任和义务。</w:t>
      </w:r>
    </w:p>
    <w:p w14:paraId="339DC7A1">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6工程质量及质量保修</w:t>
      </w:r>
    </w:p>
    <w:p w14:paraId="418430D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6.1乙方在分项工程开工之前，甲方须向乙方提交包括但不限于施工方案、图纸、测量数据、技术交底等相关技术文件，乙方按技术文件要求投入相应的人员、材料、设备等资源，按要求组织施工。该技术文件作为甲方对乙方过程管理及考核的依据。</w:t>
      </w:r>
    </w:p>
    <w:p w14:paraId="60B1FBE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6.2乙方对所承担施工项目的具体实施负责，严格按甲方的施工组织设计、施工图纸和有关技术规范以及甲方依据合同发出的指令要求进行施工。乙方每道工序完成后必须进行自检，待自检完毕通知甲方技术人员、质检工程师检查。隐蔽工程须按规定时间提前通知甲方质检工程师和相关人员，待验收合格现场签认后，方准进入下一道工序的施工。</w:t>
      </w:r>
    </w:p>
    <w:p w14:paraId="1E8C8FB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6.3乙方应接受甲方派出人员的检查，并为检查提供便利条件。乙方承担因自身原因导致返工、修改的费用，对于工程施工过程中未能达到质量要求的工序，甲方有权让乙方返工直到满足技术规范要求，返工人工费及材料机械费及重复检测费用由乙方负责。</w:t>
      </w:r>
    </w:p>
    <w:p w14:paraId="131F9D6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6.4乙方通过隐瞒、疏通等手段经甲方验收合格的工程，后经上级或权威部门检查验收判定为不合格的，仍视为不合格工程，乙方须无条件进行返工，直至合格为止，发生的费用由乙方负责，并赔偿甲方因此造成的损失。</w:t>
      </w:r>
    </w:p>
    <w:p w14:paraId="22AD5BB4">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6.5乙方承建的工程质量要求各单位、分部、分项工程合格率为100%，且重要分部分项工程评分达到或超过90分。乙方承建的工程若出现缺陷修复，缺陷责任由乙方承担。</w:t>
      </w:r>
    </w:p>
    <w:p w14:paraId="6D0E6E27">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6.6乙方的各项试验和检测内容应到甲方认可的有资质的试验检测机构完成，其费用由</w:t>
      </w:r>
      <w:r>
        <w:rPr>
          <w:rFonts w:hint="eastAsia" w:ascii="仿宋" w:hAnsi="仿宋" w:eastAsia="仿宋" w:cs="Times New Roman"/>
          <w:color w:val="auto"/>
          <w:kern w:val="2"/>
          <w:sz w:val="24"/>
          <w:u w:val="single"/>
          <w:lang w:eastAsia="zh-CN"/>
        </w:rPr>
        <w:t>乙</w:t>
      </w:r>
      <w:r>
        <w:rPr>
          <w:rFonts w:hint="eastAsia" w:ascii="仿宋" w:hAnsi="仿宋" w:eastAsia="仿宋" w:cs="Times New Roman"/>
          <w:color w:val="auto"/>
          <w:kern w:val="2"/>
          <w:sz w:val="24"/>
          <w:lang w:eastAsia="zh-CN"/>
        </w:rPr>
        <w:t>方承担。试验检测的频率、方法、操作规程等，应严格按照相关的技术标准执行。</w:t>
      </w:r>
    </w:p>
    <w:p w14:paraId="4FA65EF1">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6.7甲方按照现行的验收办法、评定标准、施工技术规范及施工图等报请发包人组织验收。分包专项工程涉及的竣工资料</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（a.由甲方统一编制，乙方承担竣工资料编制费用；b.由乙方编制，乙方承担竣工资料编制费用）。</w:t>
      </w:r>
    </w:p>
    <w:p w14:paraId="736DDD41">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6.8乙方分包专项工程的质量保修期等同于发包人要求甲方的保修期，保修期间发生在乙方工作范围内的保修费用由乙方承担。</w:t>
      </w:r>
    </w:p>
    <w:p w14:paraId="74CB426F">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7 工程变更</w:t>
      </w:r>
    </w:p>
    <w:p w14:paraId="111A3EA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7.1甲方提出设计变更或其它施工方案，乙方应积极配合，并按甲方的要求施工。工程变更的综合单价按照本合同第3.1.4条或3.1.5条执行。变更数量以经甲乙双方确认的实际施工数量为准。</w:t>
      </w:r>
    </w:p>
    <w:p w14:paraId="68152614">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7.2乙方不得擅自改变原设计，否则甲方对乙方完成的该项变更工程不予认可、不予计量支付，并有权要求乙方按照原设计返工，由此造成的损失由乙方承担。</w:t>
      </w:r>
    </w:p>
    <w:p w14:paraId="4347D2AC">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8 工程款项的结算与支付</w:t>
      </w:r>
    </w:p>
    <w:p w14:paraId="26F8C7CF">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8.1计量支付和结算原则</w:t>
      </w:r>
    </w:p>
    <w:p w14:paraId="1A40B12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8.1.1</w:t>
      </w:r>
      <w:r>
        <w:rPr>
          <w:rFonts w:hint="eastAsia" w:ascii="仿宋" w:hAnsi="仿宋" w:eastAsia="仿宋" w:cs="Times New Roman"/>
          <w:b/>
          <w:color w:val="auto"/>
          <w:kern w:val="2"/>
          <w:sz w:val="24"/>
          <w:lang w:eastAsia="zh-CN"/>
        </w:rPr>
        <w:t>甲方按月或双方根据业主计量情况协商结算周期进行计量</w:t>
      </w:r>
      <w:r>
        <w:rPr>
          <w:rFonts w:hint="eastAsia" w:ascii="仿宋" w:hAnsi="仿宋" w:eastAsia="仿宋" w:cs="Times New Roman"/>
          <w:color w:val="auto"/>
          <w:kern w:val="2"/>
          <w:sz w:val="24"/>
          <w:lang w:eastAsia="zh-CN"/>
        </w:rPr>
        <w:t>，完成工程数量书面确认，验收合格后2个月内完成合同结算，结算数量按业主批复内乙方实际完成的数量进行确认。</w:t>
      </w:r>
    </w:p>
    <w:p w14:paraId="64993DB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8.1.2甲方只对甲乙双方确认的乙方实际完成的经甲方验收合格的工作量进行计量支付，甲方无义务向乙方垫付或预付双方已确认结算工程量之外的工程款。</w:t>
      </w:r>
    </w:p>
    <w:p w14:paraId="364BAB5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8.1.3甲方对乙方未达到本合同要求的质量标准的作业量不予计量，乙方应对未达到质量要求的作业项目进行返工，直到质量达到要求后方予以计量，返工费用由乙方承担。</w:t>
      </w:r>
    </w:p>
    <w:p w14:paraId="58841EE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8.1.4本合同涉及的所有期中计量支付、完工结算支付均由甲方支付到乙方在本合同约定的银行账户，无特殊情况下，甲方不接受乙方提供的任何第三方银行账户或委托支付。</w:t>
      </w:r>
    </w:p>
    <w:p w14:paraId="6B5CC0BA">
      <w:pPr>
        <w:framePr w:wrap="auto" w:vAnchor="margin" w:hAnchor="text" w:yAlign="inline"/>
        <w:widowControl w:val="0"/>
        <w:spacing w:line="400" w:lineRule="exact"/>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8.1.5支付方式</w:t>
      </w:r>
    </w:p>
    <w:p w14:paraId="16B8BD68">
      <w:pPr>
        <w:framePr w:wrap="auto" w:vAnchor="margin" w:hAnchor="text" w:yAlign="inline"/>
        <w:widowControl w:val="0"/>
        <w:spacing w:line="400" w:lineRule="exact"/>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乙方同意甲方根据管理需要选择银行转账、支票或供应链金融等方式支付计量款项。</w:t>
      </w:r>
    </w:p>
    <w:p w14:paraId="7CEA3E92">
      <w:pPr>
        <w:framePr w:wrap="auto" w:vAnchor="margin" w:hAnchor="text" w:yAlign="inline"/>
        <w:widowControl w:val="0"/>
        <w:spacing w:line="400" w:lineRule="exact"/>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本合同价的</w:t>
      </w:r>
      <w:r>
        <w:rPr>
          <w:rFonts w:hint="eastAsia" w:ascii="仿宋" w:hAnsi="仿宋" w:eastAsia="仿宋" w:cs="Times New Roman"/>
          <w:color w:val="auto"/>
          <w:kern w:val="2"/>
          <w:sz w:val="24"/>
          <w:u w:val="single"/>
          <w:lang w:eastAsia="zh-CN"/>
        </w:rPr>
        <w:t>0</w:t>
      </w:r>
      <w:r>
        <w:rPr>
          <w:rFonts w:hint="eastAsia" w:ascii="仿宋" w:hAnsi="仿宋" w:eastAsia="仿宋" w:cs="Times New Roman"/>
          <w:color w:val="auto"/>
          <w:kern w:val="2"/>
          <w:sz w:val="24"/>
          <w:lang w:eastAsia="zh-CN"/>
        </w:rPr>
        <w:t>%款项支付将选择供应链金融支付方式，乙方应根据该支付方式建立有效支付通道（包括但不限于在甲方指定银行开立结算账户、出具供应链金融有关文书等），甲方承担该支付方式产生的利息费用。</w:t>
      </w:r>
    </w:p>
    <w:p w14:paraId="63D1CBE6">
      <w:pPr>
        <w:framePr w:wrap="auto" w:vAnchor="margin" w:hAnchor="text" w:yAlign="inline"/>
        <w:widowControl w:val="0"/>
        <w:spacing w:line="400" w:lineRule="exact"/>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8.２中期支付</w:t>
      </w:r>
    </w:p>
    <w:p w14:paraId="10DF2AE0">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8.2.1</w:t>
      </w:r>
    </w:p>
    <w:p w14:paraId="395EF87D">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合同内工程：</w:t>
      </w:r>
    </w:p>
    <w:p w14:paraId="616BCE3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预付款：</w:t>
      </w:r>
      <w:r>
        <w:rPr>
          <w:rFonts w:hint="eastAsia" w:ascii="仿宋" w:hAnsi="仿宋" w:eastAsia="仿宋" w:cs="Times New Roman"/>
          <w:color w:val="auto"/>
          <w:kern w:val="2"/>
          <w:sz w:val="24"/>
          <w:u w:val="single"/>
          <w:lang w:val="en-US" w:eastAsia="zh-CN"/>
        </w:rPr>
        <w:t xml:space="preserve">                                                 </w:t>
      </w:r>
    </w:p>
    <w:p w14:paraId="5A7E915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变更工程：在甲方收到业主单位支付该项变更工程款后，由甲方根据业主支付的比例确定向乙方支付的比例和进度，甲方无义务向乙方垫付或预付变更工程款，乙方不得以任何理由提出追偿。</w:t>
      </w:r>
    </w:p>
    <w:p w14:paraId="5C579B95">
      <w:pPr>
        <w:framePr w:wrap="auto" w:vAnchor="margin" w:hAnchor="text" w:yAlign="inline"/>
        <w:widowControl w:val="0"/>
        <w:spacing w:line="400" w:lineRule="exact"/>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8.2.2扣留保留金的比例为甲方确认计量总金额的3%，安全保证金为2%，暂扣款为3%。</w:t>
      </w:r>
    </w:p>
    <w:p w14:paraId="44475A0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8.2.3工人工资支付保证金2%比例在计量支付时提取，在乙方劳务作业全部完成并出具无拖欠工人工资承诺后退还。</w:t>
      </w:r>
    </w:p>
    <w:p w14:paraId="02C6203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8.3完工结算和支付</w:t>
      </w:r>
    </w:p>
    <w:p w14:paraId="3C33DE5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8.3.1乙方负责的工程量完工2个月内，甲乙双方按本合同约定的单价和甲乙双方确认的实际完成的工程数量进行完工结算，并签订结算协议。项目合同结算审核完成前，累计付款不应超过结算金额的80%。</w:t>
      </w:r>
    </w:p>
    <w:p w14:paraId="3A9B680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8.3.2在甲方收到业主相应工程款的前提下，在双方签订的结算协议经合同审核通过之日起的28天内，甲方向乙方支付除保留金和其他应扣款以外的剩余应付款项。</w:t>
      </w:r>
    </w:p>
    <w:p w14:paraId="0741B4E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8.3.3保留金、安全保证金、暂扣款的退还：保留金在竣工验收合格，并在业主返还质量保证金后1个月内付清；若有部分项目因结算审核造成扣款的或出现缺陷责任需对工程进行修复所发生的费用，甲方将在乙方的保留金中扣除，如保留金不足以扣除相应的款项，甲方可对乙方进行费用追索。若施工过程中没有发生安全事故的，安全保证金在竣工验收合格后退还。暂扣款在项目结算完成后半年内支付。保留金、安全保证金、暂扣款的返还不计任何利息。</w:t>
      </w:r>
    </w:p>
    <w:p w14:paraId="060F43F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8.3.4本分包合同的最终结算价以财政结算审定的单价下浮</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w:t>
      </w:r>
      <w:r>
        <w:rPr>
          <w:rFonts w:hint="eastAsia" w:ascii="仿宋" w:hAnsi="仿宋" w:eastAsia="仿宋" w:cs="Times New Roman"/>
          <w:color w:val="auto"/>
          <w:kern w:val="2"/>
          <w:sz w:val="24"/>
          <w:lang w:eastAsia="zh-CN"/>
        </w:rPr>
        <w:t>为结算单价，结算工程量以经双方确认的工程量为准，相应税费由乙方自行承担，因政策调整引起的税费变化由乙方承担。</w:t>
      </w:r>
    </w:p>
    <w:p w14:paraId="2F047C2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项目实施过程中，出现工程量清单增减项的情况，若工程量清单增项，由乙方实施，双方签订补充协议，以财政结算审定的单价下浮</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w:t>
      </w:r>
      <w:r>
        <w:rPr>
          <w:rFonts w:hint="eastAsia" w:ascii="仿宋" w:hAnsi="仿宋" w:eastAsia="仿宋" w:cs="Times New Roman"/>
          <w:color w:val="auto"/>
          <w:kern w:val="2"/>
          <w:sz w:val="24"/>
          <w:u w:val="none"/>
          <w:lang w:eastAsia="zh-CN"/>
        </w:rPr>
        <w:t>为</w:t>
      </w:r>
      <w:r>
        <w:rPr>
          <w:rFonts w:hint="eastAsia" w:ascii="仿宋" w:hAnsi="仿宋" w:eastAsia="仿宋" w:cs="Times New Roman"/>
          <w:color w:val="auto"/>
          <w:kern w:val="2"/>
          <w:sz w:val="24"/>
          <w:lang w:eastAsia="zh-CN"/>
        </w:rPr>
        <w:t>结算单价；若工程量清单减项，乙方不得以此为由向发包人索赔。</w:t>
      </w:r>
    </w:p>
    <w:p w14:paraId="215192A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8.3.5乙方与他人的经济、法律、劳资等纠纷申诉牵连到甲方的，如果乙方没有及时妥善解决，甲方有权从乙方保留金和暂扣款中扣除相应金额给申诉方，并有权要求乙方支付相同金额的违约金。</w:t>
      </w:r>
    </w:p>
    <w:p w14:paraId="6F364432">
      <w:pPr>
        <w:widowControl w:val="0"/>
        <w:spacing w:after="120" w:line="360" w:lineRule="auto"/>
        <w:ind w:firstLine="480" w:firstLineChars="200"/>
        <w:jc w:val="both"/>
        <w:rPr>
          <w:rFonts w:hint="eastAsia" w:ascii="Times New Roman" w:hAnsi="Times New Roman" w:eastAsia="仿宋" w:cs="Times New Roman"/>
          <w:color w:val="auto"/>
          <w:kern w:val="2"/>
          <w:sz w:val="21"/>
          <w:szCs w:val="24"/>
          <w:lang w:val="en-US" w:eastAsia="zh-CN" w:bidi="ar-SA"/>
        </w:rPr>
      </w:pPr>
      <w:r>
        <w:rPr>
          <w:rFonts w:hint="eastAsia" w:ascii="仿宋" w:hAnsi="仿宋" w:eastAsia="仿宋" w:cs="Times New Roman"/>
          <w:color w:val="auto"/>
          <w:kern w:val="2"/>
          <w:sz w:val="24"/>
          <w:szCs w:val="24"/>
          <w:lang w:val="en-US" w:eastAsia="zh-CN" w:bidi="ar-SA"/>
        </w:rPr>
        <w:t>8.3.6乙方因本合同产生的包括但不限于给甲方造成的损失、违约金、处罚款等款项，甲方有权在应付款项中优先扣减，仍不能弥补甲方损失的，甲方有权向乙方继续进行追偿。</w:t>
      </w:r>
    </w:p>
    <w:p w14:paraId="7BD1501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8.4跨区域涉税事项报告表</w:t>
      </w:r>
    </w:p>
    <w:p w14:paraId="61EC81DD">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乙方在本合同签订后一个月内，应根据合同提供该项目的跨区域涉税事项报告表，以确保该项目能在当地税务机关申报缴纳税费。</w:t>
      </w:r>
    </w:p>
    <w:p w14:paraId="07FB90F3">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8.5发票的提供</w:t>
      </w:r>
    </w:p>
    <w:p w14:paraId="1D601092">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8.5.1乙方应在每期结算确认后，在甲方资金支付前，根据合同内容和结算书内容向甲方出具相应增值税发票。以上条件不满足时，乙方不得向甲方申请支付款项，甲方有权停止支付且由乙方自身承担资金风险。</w:t>
      </w:r>
    </w:p>
    <w:p w14:paraId="435E4074">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8.5.2乙方出具发票需同时满足以下原则：</w:t>
      </w:r>
    </w:p>
    <w:p w14:paraId="6D02122B">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8.5.2.1发票金额</w:t>
      </w:r>
    </w:p>
    <w:p w14:paraId="7543AF59">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乙方向甲方开具发票的金额需严格依据“累计确认结算量与资金支付量孰高原则”。</w:t>
      </w:r>
    </w:p>
    <w:p w14:paraId="02E783E4">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8.5.2.2票面信息</w:t>
      </w:r>
    </w:p>
    <w:p w14:paraId="0D7BBA3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专用发票或普通发票）与本项目的计税方法（一般计税方法或简易计税方法）匹配。</w:t>
      </w:r>
    </w:p>
    <w:p w14:paraId="259FFED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8.6发票提供的责任</w:t>
      </w:r>
    </w:p>
    <w:p w14:paraId="6CAFC0E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导致甲方利益受损的，全部损失由乙方承担。</w:t>
      </w:r>
    </w:p>
    <w:p w14:paraId="6E1F8C37">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2B0667E7">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9 材料物资和机械设备</w:t>
      </w:r>
    </w:p>
    <w:p w14:paraId="24750058">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9.1材料</w:t>
      </w:r>
    </w:p>
    <w:p w14:paraId="5093C40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9.1.1发包人和甲方统一采购供应的材料名称、单价及允许损耗系数等见《转包人供应材料清单》（附表3）。乙方领用的甲供材料，若累计用量在图纸用量加允许损耗用量以内的数量按材料清单单价扣回，超出允许损耗用量的材料款在乙方当月的工程款结算时按上述材料的市场价加</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保管费予以扣回。</w:t>
      </w:r>
    </w:p>
    <w:p w14:paraId="08AA2241">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9.1.2除上述甲方提供的材料物资外，用于乙方施工的其他材料物资由乙方自行采购和提供，并负责其保管、检测、使用、运输等全部费用。</w:t>
      </w:r>
    </w:p>
    <w:p w14:paraId="2F98599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9.2机械设备</w:t>
      </w:r>
    </w:p>
    <w:p w14:paraId="57AA28B4">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9.2.1乙方施工所需机械设备均由乙方自行采购和提供，并符合工程施工和进度的要求。</w:t>
      </w:r>
    </w:p>
    <w:p w14:paraId="789059BF">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10 安全生产管理</w:t>
      </w:r>
    </w:p>
    <w:p w14:paraId="7ED566F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 乙方安全生产管理</w:t>
      </w:r>
    </w:p>
    <w:p w14:paraId="2D0C459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10.1.1乙方对所承担工程的生产安全负责。包括施工区域、施工便道便桥、办公生活场所中的安全设施设备、施工机电设备、建筑材料、安全标志标牌，施工辅助作业、施工作业，从业人员。</w:t>
      </w:r>
    </w:p>
    <w:p w14:paraId="18EF49E7">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10.1.2按有关法规和甲方要求建立完善安全生产管理规章、安全生产操作规程，落实安全生产管理责任制，配备专（兼）职安全生产管理人员。</w:t>
      </w:r>
    </w:p>
    <w:p w14:paraId="623444D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10.1.3工程开工前应确保安全生产条件。检查进场施工机电设备的安全性能，施工现场安全措施，对从业人员实行三级安全教育和安全技术交底。</w:t>
      </w:r>
    </w:p>
    <w:p w14:paraId="45B1E6E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10.1.4必须按照有关规定为从业人员购买意外伤害保险。</w:t>
      </w:r>
    </w:p>
    <w:p w14:paraId="2B3ACBF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10.1.5施工过程中必须严格执行有关安全生产法律、法规、规定和行业标准、规程、规章，遵守甲方及其上级单位安全生产管理制度，服从甲方安全生产管理，接受甲方的安全指导和监督检查。</w:t>
      </w:r>
    </w:p>
    <w:p w14:paraId="1E768E1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10.1.6施工现场应设立并维护好安全生产警示、标志牌、构造物标示牌、安全生产宣传栏、宣传标语等。</w:t>
      </w:r>
    </w:p>
    <w:p w14:paraId="728FBAA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10.1.7特种施工机械设备必须按规定进行安检、备案，特种作业人员必须持有效证件上岗。</w:t>
      </w:r>
    </w:p>
    <w:p w14:paraId="7172A04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10.1.8施工现场临时用电应按要求进行布设线路、电箱和电气。</w:t>
      </w:r>
    </w:p>
    <w:p w14:paraId="34258BE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10.1.9按规定为从业人员配发劳保用品。</w:t>
      </w:r>
    </w:p>
    <w:p w14:paraId="09C2CC7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10.1.10 乙方与甲方签订《安全生产责任书》，明确双方安全生产管理责任。本合同中未明确事宜，严格按《安全生产责任书》执行。在施工过程中，因乙方原因造成生产安全事故，追究乙方相应责任，并由乙方承担由此引起的一切责任。</w:t>
      </w:r>
    </w:p>
    <w:p w14:paraId="6836110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10.1.11</w:t>
      </w:r>
      <w:r>
        <w:rPr>
          <w:rFonts w:hint="eastAsia" w:ascii="仿宋" w:hAnsi="仿宋" w:eastAsia="仿宋" w:cs="宋体"/>
          <w:color w:val="auto"/>
          <w:kern w:val="2"/>
          <w:sz w:val="24"/>
          <w:lang w:eastAsia="zh-CN"/>
        </w:rPr>
        <w:t>承建工程</w:t>
      </w:r>
      <w:r>
        <w:rPr>
          <w:rFonts w:hint="eastAsia" w:ascii="仿宋" w:hAnsi="仿宋" w:eastAsia="仿宋" w:cs="Times New Roman"/>
          <w:color w:val="auto"/>
          <w:kern w:val="2"/>
          <w:sz w:val="24"/>
          <w:lang w:eastAsia="zh-CN"/>
        </w:rPr>
        <w:t>与地方道路等有交叉、干扰的地段，应合理安排施工组织计划，采取有效措施保证施工安全及交通畅通；与其他在建工程</w:t>
      </w:r>
      <w:r>
        <w:rPr>
          <w:rFonts w:hint="eastAsia" w:ascii="仿宋" w:hAnsi="仿宋" w:eastAsia="仿宋" w:cs="宋体"/>
          <w:color w:val="auto"/>
          <w:kern w:val="2"/>
          <w:sz w:val="24"/>
          <w:lang w:eastAsia="zh-CN"/>
        </w:rPr>
        <w:t>干</w:t>
      </w:r>
      <w:r>
        <w:rPr>
          <w:rFonts w:hint="eastAsia" w:ascii="仿宋" w:hAnsi="仿宋" w:eastAsia="仿宋" w:cs="Times New Roman"/>
          <w:color w:val="auto"/>
          <w:kern w:val="2"/>
          <w:sz w:val="24"/>
          <w:lang w:eastAsia="zh-CN"/>
        </w:rPr>
        <w:t>扰地段，应做好与其它施工单位或班组的协调工作。</w:t>
      </w:r>
    </w:p>
    <w:p w14:paraId="6748F1B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宋体"/>
          <w:color w:val="auto"/>
          <w:kern w:val="2"/>
          <w:sz w:val="24"/>
          <w:lang w:eastAsia="zh-CN"/>
        </w:rPr>
      </w:pPr>
      <w:r>
        <w:rPr>
          <w:rFonts w:hint="eastAsia" w:ascii="仿宋" w:hAnsi="仿宋" w:eastAsia="仿宋" w:cs="Times New Roman"/>
          <w:color w:val="auto"/>
          <w:kern w:val="2"/>
          <w:sz w:val="24"/>
          <w:lang w:eastAsia="zh-CN"/>
        </w:rPr>
        <w:t xml:space="preserve">10.2 </w:t>
      </w:r>
      <w:r>
        <w:rPr>
          <w:rFonts w:hint="eastAsia" w:ascii="仿宋" w:hAnsi="仿宋" w:eastAsia="仿宋" w:cs="宋体"/>
          <w:color w:val="auto"/>
          <w:kern w:val="2"/>
          <w:sz w:val="24"/>
          <w:lang w:eastAsia="zh-CN"/>
        </w:rPr>
        <w:t>甲方</w:t>
      </w:r>
      <w:r>
        <w:rPr>
          <w:rFonts w:hint="eastAsia" w:ascii="仿宋" w:hAnsi="仿宋" w:eastAsia="仿宋" w:cs="Times New Roman"/>
          <w:color w:val="auto"/>
          <w:kern w:val="2"/>
          <w:sz w:val="24"/>
          <w:lang w:eastAsia="zh-CN"/>
        </w:rPr>
        <w:t>安全生产</w:t>
      </w:r>
      <w:r>
        <w:rPr>
          <w:rFonts w:hint="eastAsia" w:ascii="仿宋" w:hAnsi="仿宋" w:eastAsia="仿宋" w:cs="宋体"/>
          <w:color w:val="auto"/>
          <w:kern w:val="2"/>
          <w:sz w:val="24"/>
          <w:lang w:eastAsia="zh-CN"/>
        </w:rPr>
        <w:t>管理</w:t>
      </w:r>
    </w:p>
    <w:p w14:paraId="6FF4B52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10.2.1甲方与乙方界定安全生产管理责任，提出明确安全生产管理要求。</w:t>
      </w:r>
    </w:p>
    <w:p w14:paraId="45B8F33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10.2.2甲方在开工前组织对乙方安全生产条件检查。组织一级、三级安全教育，进行技术交底。</w:t>
      </w:r>
    </w:p>
    <w:p w14:paraId="0D5D3975">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10.2.3施工过程中对乙方安全生产工作落实情况进行巡查、督促，不定期组织安全生产宣传教育。</w:t>
      </w:r>
    </w:p>
    <w:p w14:paraId="58D11BD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10.2.4发生生产安全事故或出现安全生产险情时，协助乙方处理。</w:t>
      </w:r>
    </w:p>
    <w:p w14:paraId="6471E685">
      <w:pPr>
        <w:framePr w:wrap="auto" w:vAnchor="margin" w:hAnchor="text" w:yAlign="inline"/>
        <w:widowControl w:val="0"/>
        <w:spacing w:before="156" w:beforeLines="50" w:line="360" w:lineRule="auto"/>
        <w:ind w:firstLine="482"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11人员关系管理</w:t>
      </w:r>
    </w:p>
    <w:p w14:paraId="00AC48EE">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11.1乙方招用的人员，应当依法签订劳动用工合同，进场施工前，须提交工人花名册、工人用工合同到甲方处备案；进场后，每月向甲方报送更新的工人花名册；中途进场的工人，用工当日乙方需向甲方提交工人的用工合同。乙方不得招用达到法定退休年龄的人员。</w:t>
      </w:r>
    </w:p>
    <w:p w14:paraId="75CAAEE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11.2乙方若未按上述约定进行用工管理，导致乙方工人申请工伤认定、劳动仲裁或提起诉讼而牵连甲方的，每发生一宗乙方应向甲方支付违约金5万元，该费用将从应付给乙方的任何款项内扣除。</w:t>
      </w:r>
    </w:p>
    <w:p w14:paraId="28150A6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发生劳动争议仲裁或诉讼后，乙方可自行选择与工人和解或应诉；选择应诉的，甲方将按案件标的的1.3倍暂扣乙方的工程款直至案件解决。</w:t>
      </w:r>
    </w:p>
    <w:p w14:paraId="4A6CA5F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11.3乙方招用的人员，其应得工资应通过银行卡转帐或现金发放的方式及时、足额地直接发放给员工本人。严禁发放给其他不具备用工主体资格的组织和个人。甲方付工程款时，乙方须提供上一期工人工资的付款凭证，否则不予支付工程款。</w:t>
      </w:r>
    </w:p>
    <w:p w14:paraId="6944CE97">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11.4乙方招用的人员，在核定的人工费总额内需由甲方统一代为发放的，乙方需出具书面委托，并在每月月底报送员工考勤表及乙方签认的工资发放表到甲方。甲方以工资卡形式发放，费用在月结算计量款中抵扣。</w:t>
      </w:r>
    </w:p>
    <w:p w14:paraId="03EE080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11.5乙方不得以任何理由和形式克扣员工工资，更不得发生员工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元，并没收保证金。</w:t>
      </w:r>
    </w:p>
    <w:p w14:paraId="3975E4B9">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12保险</w:t>
      </w:r>
    </w:p>
    <w:p w14:paraId="41AB10A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将不承担任何赔偿责任。</w:t>
      </w:r>
    </w:p>
    <w:p w14:paraId="76552742">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13现场管理</w:t>
      </w:r>
    </w:p>
    <w:p w14:paraId="3DD98C9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13.1甲、乙双方人员应严格遵守现场各项管理制度，在甲方现场负责人统一领导下组织施工，合理安排计划进度、材料供应等工作，双方应密切配合，保证施工顺利进行。</w:t>
      </w:r>
    </w:p>
    <w:p w14:paraId="38997D6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13.2乙方应对施工人员进行遵纪守法、爱护财物的教育，并指定专人负责现场保卫工作，严禁盗窃现场材料。如乙方人员违反现场管理制度和有不法行为，甲方有权采取必要措施，并由乙方承担相关法律责任和经济损失。</w:t>
      </w:r>
    </w:p>
    <w:p w14:paraId="59ED6C3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13.3在施工过程中，如因乙方自身原因导致甲方需要向业主、监理或其他上级主管单位负责的任何形式的责任，该责任由乙方承担，甲方保留进一步追究乙方责任的权利。如造成甲方经济的损失，将在乙方当期计量或工程结算时予以抵扣。</w:t>
      </w:r>
    </w:p>
    <w:p w14:paraId="5FEDB19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13.4乙方人员要保持相对稳定，出入施工现场要配戴工作标志，不允许与施工生产无关的人员出入现场和住宿，不得招用“三无”人员从事工程施工作业。</w:t>
      </w:r>
    </w:p>
    <w:p w14:paraId="3F1E846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13.5文明施工</w:t>
      </w:r>
    </w:p>
    <w:p w14:paraId="05353F1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13.5.1乙方应遵守有关文明施工的规定，注意在施工过程中保护工程所在地的环境。如防治雨水对施工现场所占有的土地、临时用地、路基土石方、取弃土场等的冲刷，造成对河流、水道、灌溉渠、排水系统产生淤积、堵塞，对农田或其他农作物造成污染、淹没；防治施工中燃料、油、焊碴、污水、废料和垃圾等有害物质对池塘、河道、农田等造成污染，防治扬尘、汽油等物质对环境空气的污染；防治噪音对环境的污染，把施工对环境、空气的影响减少到法规允许的范围内。如乙方因自身管理不到位造成的责任事故，由乙方承担责任及相关赔偿费用。因乙方的责任造成环境污染事故或其他环境责任事故，由乙方承担相关责任和经济赔偿。</w:t>
      </w:r>
    </w:p>
    <w:p w14:paraId="7AC4913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13.5.2 乙方的员工应统一佩带由甲方要求的上岗标志，甲方将定期进行检查。乙方施工场地使用、机械停放、材料和设备布置应服从甲方统一安排，机具、材料堆放整齐。</w:t>
      </w:r>
    </w:p>
    <w:p w14:paraId="7F81612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13.5.3乙方应保证驻地整洁，现场文明施工，确保施工期间在工程范围内便道、原有道路的交通状况满足甲方的要求。</w:t>
      </w:r>
    </w:p>
    <w:p w14:paraId="1C8D8209">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14合同解除及违约责任</w:t>
      </w:r>
    </w:p>
    <w:p w14:paraId="444B1A3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14.1 经甲乙双方协商同意，可以变更或解除合同。</w:t>
      </w:r>
    </w:p>
    <w:p w14:paraId="4131688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14.2 乙方分包的工程项目，不得再行转包或分包，否则将无条件被认为乙方违约，甲方有权解除合同，且由此引起的一切责任、事故和损失由乙方负责。</w:t>
      </w:r>
    </w:p>
    <w:p w14:paraId="1AE9708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乙方在履行合同过程中出现下列情形之一的，甲方将视为乙方严重违约，有权单方面解除合同，另行安排队伍施工，乙方须无条件退场。同时甲方有权没收乙方的合同履约保证金（如果有），如履约保证金仍不能补偿甲方的损失，甲方有权从乙方的保留金或其他工程款中扣除作冲抵，如仍不能弥补甲方损失的，甲方有权继续向乙方追索。</w:t>
      </w:r>
    </w:p>
    <w:p w14:paraId="02757D8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14.3.1乙方未经甲方批准将本合同的任何工作内容另行转包或分包给他人的。</w:t>
      </w:r>
    </w:p>
    <w:p w14:paraId="24D961F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14.3.2 乙方在施工过程中，不听从甲方指挥或调配、违章作业、或出现安全问题和事故，甲方有权提出警告、责令整改，并视具体情况要求乙方支付违约金，若乙方拒不改正的，甲方有权解除合同。</w:t>
      </w:r>
    </w:p>
    <w:p w14:paraId="081F88A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14.3.3 因乙方原因导致甲方不能按合同或业主规定的工期交付使用，从而导致业主对甲方进行有关工期延误的索赔，由乙方承担相应的赔偿款，并承担因此而给甲方造成的损失（包括但不限于直接经济损失、诉讼费、保全费、律师费、差旅费等）。</w:t>
      </w:r>
    </w:p>
    <w:p w14:paraId="65FB569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14.3.4 未按合同约定将劳务人员、机具设备组织到位。</w:t>
      </w:r>
    </w:p>
    <w:p w14:paraId="12060E4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14.3.5连续3次完成不了甲方下达的任务，导致甲方不能按时完成生产计划。</w:t>
      </w:r>
    </w:p>
    <w:p w14:paraId="21BBD75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14.3.6 施工质量经整改仍达不到合同、规范标准要求的或发生重大质量事故。</w:t>
      </w:r>
    </w:p>
    <w:p w14:paraId="3159616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14.3.7 因乙方原因给甲方造成严重信誉损毁的。</w:t>
      </w:r>
    </w:p>
    <w:p w14:paraId="7C607A0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14.3.8 出现国家法律、法规规定的其他需要解除合同的情形时。</w:t>
      </w:r>
    </w:p>
    <w:p w14:paraId="0489C9C5">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14.4如乙方单方面提出解除合同，按照合同总金额的10%向甲方支付违约金。</w:t>
      </w:r>
    </w:p>
    <w:p w14:paraId="019A444B">
      <w:pPr>
        <w:framePr w:wrap="auto" w:vAnchor="margin" w:hAnchor="text" w:yAlign="inline"/>
        <w:widowControl w:val="0"/>
        <w:spacing w:before="156" w:beforeLines="50"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15 附则</w:t>
      </w:r>
    </w:p>
    <w:p w14:paraId="56071158">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15.1甲方不允许项目部人员擅自变更本合同以及以甲方或甲方项目部名义对外借款。甲方与乙方之间签订的任何合同、协议、补充合同、承诺书、确认单等均以甲方委派项目经理签字并加盖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color w:val="auto"/>
          <w:kern w:val="0"/>
          <w:sz w:val="24"/>
          <w:lang w:eastAsia="zh-CN"/>
        </w:rPr>
        <w:t>公司公章或公司合同专用章</w:t>
      </w:r>
      <w:r>
        <w:rPr>
          <w:rFonts w:hint="eastAsia" w:ascii="仿宋" w:hAnsi="仿宋" w:eastAsia="仿宋" w:cs="Times New Roman"/>
          <w:color w:val="auto"/>
          <w:kern w:val="2"/>
          <w:sz w:val="24"/>
          <w:lang w:eastAsia="zh-CN"/>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w:t>
      </w:r>
      <w:r>
        <w:rPr>
          <w:rFonts w:ascii="仿宋" w:hAnsi="仿宋" w:eastAsia="仿宋" w:cs="Times New Roman"/>
          <w:color w:val="auto"/>
          <w:kern w:val="2"/>
          <w:sz w:val="24"/>
          <w:lang w:eastAsia="zh-CN"/>
        </w:rPr>
        <w:t>违约</w:t>
      </w:r>
      <w:r>
        <w:rPr>
          <w:rFonts w:hint="eastAsia" w:ascii="仿宋" w:hAnsi="仿宋" w:eastAsia="仿宋" w:cs="Times New Roman"/>
          <w:color w:val="auto"/>
          <w:kern w:val="2"/>
          <w:sz w:val="24"/>
          <w:lang w:eastAsia="zh-CN"/>
        </w:rPr>
        <w:t>金。</w:t>
      </w:r>
    </w:p>
    <w:p w14:paraId="2261FCB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15.2合同生效：本合同经甲乙双方签字盖章后，须经驻地监理办审查，报发包人备案之日起生效。</w:t>
      </w:r>
    </w:p>
    <w:p w14:paraId="6E3BE1A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15.3合同终止日期：在全部工程竣工，办理竣工验收款项结清后失效。</w:t>
      </w:r>
    </w:p>
    <w:p w14:paraId="76CBABC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15.4本合同发生纠纷时，甲乙双方应及时协商解决。若协商不成时，可向甲方所在地有管辖权的人民法院提起诉讼。</w:t>
      </w:r>
    </w:p>
    <w:p w14:paraId="0AE5B30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15.5本合同一式</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份，甲乙双方各执正本一份，副本</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份，驻地监理办、发包人备案各一份，正本均具同等法律效力。</w:t>
      </w:r>
    </w:p>
    <w:p w14:paraId="59440CF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15.6本合同未尽事宜，发包人与甲方签订总包合同的相关条款已有的，按其办理；未涉及的，按照本工程合同文件的精神，甲乙双方协商解决。</w:t>
      </w:r>
    </w:p>
    <w:p w14:paraId="2538D20D">
      <w:pPr>
        <w:framePr w:wrap="auto" w:vAnchor="margin" w:hAnchor="text" w:yAlign="inline"/>
        <w:widowControl w:val="0"/>
        <w:spacing w:line="360" w:lineRule="auto"/>
        <w:ind w:firstLine="480"/>
        <w:jc w:val="both"/>
        <w:rPr>
          <w:rFonts w:ascii="仿宋" w:hAnsi="仿宋" w:eastAsia="仿宋" w:cs="Times New Roman"/>
          <w:color w:val="auto"/>
          <w:kern w:val="2"/>
          <w:sz w:val="24"/>
          <w:lang w:eastAsia="zh-CN"/>
        </w:rPr>
      </w:pPr>
    </w:p>
    <w:p w14:paraId="75056267">
      <w:pPr>
        <w:framePr w:wrap="auto" w:vAnchor="margin" w:hAnchor="text" w:yAlign="inline"/>
        <w:widowControl w:val="0"/>
        <w:spacing w:line="360" w:lineRule="auto"/>
        <w:ind w:firstLine="480"/>
        <w:jc w:val="both"/>
        <w:rPr>
          <w:rFonts w:ascii="仿宋" w:hAnsi="仿宋" w:eastAsia="仿宋" w:cs="Times New Roman"/>
          <w:color w:val="auto"/>
          <w:kern w:val="2"/>
          <w:sz w:val="24"/>
          <w:lang w:eastAsia="zh-CN"/>
        </w:rPr>
      </w:pPr>
    </w:p>
    <w:p w14:paraId="2B8EE674">
      <w:pPr>
        <w:framePr w:wrap="auto" w:vAnchor="margin" w:hAnchor="text" w:yAlign="inline"/>
        <w:widowControl w:val="0"/>
        <w:spacing w:line="360" w:lineRule="auto"/>
        <w:ind w:firstLine="480"/>
        <w:jc w:val="both"/>
        <w:rPr>
          <w:rFonts w:ascii="仿宋" w:hAnsi="仿宋" w:eastAsia="仿宋" w:cs="Times New Roman"/>
          <w:color w:val="auto"/>
          <w:kern w:val="2"/>
          <w:sz w:val="24"/>
          <w:lang w:eastAsia="zh-CN"/>
        </w:rPr>
      </w:pPr>
    </w:p>
    <w:p w14:paraId="1D5E4E4F">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p>
    <w:p w14:paraId="2A21A7F9">
      <w:pPr>
        <w:framePr w:wrap="auto" w:vAnchor="margin" w:hAnchor="text" w:yAlign="inline"/>
        <w:widowControl w:val="0"/>
        <w:spacing w:line="360" w:lineRule="auto"/>
        <w:ind w:firstLine="480"/>
        <w:jc w:val="both"/>
        <w:rPr>
          <w:rFonts w:hint="eastAsia" w:ascii="仿宋" w:hAnsi="仿宋" w:eastAsia="仿宋" w:cs="Times New Roman"/>
          <w:color w:val="auto"/>
          <w:kern w:val="2"/>
          <w:sz w:val="24"/>
          <w:lang w:eastAsia="zh-CN"/>
        </w:rPr>
      </w:pPr>
    </w:p>
    <w:p w14:paraId="45BF4F7A">
      <w:pPr>
        <w:framePr w:wrap="auto" w:vAnchor="margin" w:hAnchor="text" w:yAlign="inline"/>
        <w:widowControl w:val="0"/>
        <w:spacing w:line="360" w:lineRule="auto"/>
        <w:ind w:firstLine="48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（此页无正文，仅为签字盖章页）</w:t>
      </w:r>
    </w:p>
    <w:p w14:paraId="29590334">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甲  方：(盖章)                           乙  方：(盖章)</w:t>
      </w:r>
    </w:p>
    <w:p w14:paraId="766617AD">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法定代表人：(签字)                       法定代表人：(签字)</w:t>
      </w:r>
    </w:p>
    <w:p w14:paraId="56422E69">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委托代理人：(签字)                       委托代理人：(签字)</w:t>
      </w:r>
    </w:p>
    <w:p w14:paraId="2B61645B">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地    址：                               地    址：</w:t>
      </w:r>
    </w:p>
    <w:p w14:paraId="275526A0">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电    话：                               电    话：</w:t>
      </w:r>
    </w:p>
    <w:p w14:paraId="57C6DA95">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开户银行：                               开户银行：</w:t>
      </w:r>
    </w:p>
    <w:p w14:paraId="28C6E436">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银行帐号：                               银行帐号：</w:t>
      </w:r>
    </w:p>
    <w:p w14:paraId="528D04E8">
      <w:pPr>
        <w:framePr w:wrap="auto" w:vAnchor="margin" w:hAnchor="text" w:yAlign="inline"/>
        <w:widowControl w:val="0"/>
        <w:spacing w:line="400" w:lineRule="exact"/>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签订时间：                               签订时间：</w:t>
      </w:r>
    </w:p>
    <w:p w14:paraId="701B8A51">
      <w:pPr>
        <w:framePr w:wrap="auto" w:vAnchor="margin" w:hAnchor="text" w:yAlign="inline"/>
        <w:rPr>
          <w:rFonts w:hint="eastAsia"/>
          <w:color w:val="auto"/>
          <w:lang w:eastAsia="zh-CN"/>
        </w:rPr>
      </w:pPr>
    </w:p>
    <w:p w14:paraId="4D2BDBF7">
      <w:pPr>
        <w:pStyle w:val="24"/>
        <w:framePr w:wrap="auto" w:vAnchor="margin" w:hAnchor="text" w:yAlign="inline"/>
        <w:rPr>
          <w:rFonts w:hint="eastAsia"/>
          <w:color w:val="auto"/>
          <w:lang w:eastAsia="zh-CN"/>
        </w:rPr>
      </w:pPr>
    </w:p>
    <w:p w14:paraId="676ABB89">
      <w:pPr>
        <w:pStyle w:val="30"/>
        <w:framePr w:wrap="auto" w:vAnchor="margin" w:hAnchor="text" w:yAlign="inline"/>
        <w:wordWrap w:val="0"/>
        <w:spacing w:line="440" w:lineRule="exact"/>
        <w:jc w:val="left"/>
        <w:rPr>
          <w:rFonts w:hint="eastAsia" w:ascii="宋体" w:hAnsi="宋体" w:eastAsia="宋体" w:cs="宋体"/>
          <w:color w:val="auto"/>
          <w:sz w:val="24"/>
          <w:szCs w:val="24"/>
          <w:highlight w:val="none"/>
          <w:u w:val="single"/>
        </w:rPr>
        <w:sectPr>
          <w:pgSz w:w="11900" w:h="16840"/>
          <w:pgMar w:top="1440" w:right="1457" w:bottom="1440" w:left="156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7" w:name="_Toc16641"/>
      <w:r>
        <w:rPr>
          <w:rFonts w:hint="eastAsia" w:ascii="宋体" w:hAnsi="宋体" w:eastAsia="宋体" w:cs="宋体"/>
          <w:b/>
          <w:bCs/>
          <w:color w:val="auto"/>
          <w:sz w:val="32"/>
          <w:szCs w:val="32"/>
          <w:highlight w:val="none"/>
          <w:lang w:val="en-US" w:eastAsia="zh-CN"/>
        </w:rPr>
        <w:t>第六部分  响应文件格式</w:t>
      </w:r>
      <w:bookmarkEnd w:id="17"/>
    </w:p>
    <w:p w14:paraId="2529A3A6">
      <w:pPr>
        <w:pStyle w:val="30"/>
        <w:framePr w:wrap="auto" w:vAnchor="margin" w:hAnchor="text" w:yAlign="inline"/>
        <w:wordWrap w:val="0"/>
        <w:spacing w:line="1200" w:lineRule="exact"/>
        <w:jc w:val="center"/>
        <w:rPr>
          <w:rFonts w:hint="eastAsia" w:ascii="宋体" w:hAnsi="宋体" w:eastAsia="宋体" w:cs="宋体"/>
          <w:color w:val="auto"/>
          <w:sz w:val="44"/>
          <w:szCs w:val="44"/>
          <w:highlight w:val="none"/>
          <w:u w:val="single"/>
        </w:rPr>
      </w:pPr>
    </w:p>
    <w:p w14:paraId="50C8FF98">
      <w:pPr>
        <w:pStyle w:val="30"/>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32D94E6D">
      <w:pPr>
        <w:pStyle w:val="30"/>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70915E60">
      <w:pPr>
        <w:pStyle w:val="30"/>
        <w:framePr w:wrap="auto" w:vAnchor="margin" w:hAnchor="text" w:yAlign="inline"/>
        <w:wordWrap w:val="0"/>
        <w:adjustRightInd w:val="0"/>
        <w:snapToGrid w:val="0"/>
        <w:spacing w:line="360" w:lineRule="auto"/>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粤港澳大湾区（惠州）数据产业园市政基础设施工程（二期）（第一批）项目设计、施工总承包（EPC）</w:t>
      </w:r>
    </w:p>
    <w:p w14:paraId="51D98A10">
      <w:pPr>
        <w:pStyle w:val="30"/>
        <w:framePr w:wrap="auto" w:vAnchor="margin" w:hAnchor="text" w:yAlign="inline"/>
        <w:wordWrap w:val="0"/>
        <w:adjustRightInd w:val="0"/>
        <w:snapToGrid w:val="0"/>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0"/>
          <w:szCs w:val="40"/>
          <w:highlight w:val="none"/>
          <w:lang w:val="en-US" w:eastAsia="zh-CN"/>
        </w:rPr>
        <w:t>（编号100号）综合管廊附属工程（强电工程-高压外接电部分）</w:t>
      </w:r>
      <w:r>
        <w:rPr>
          <w:rFonts w:hint="eastAsia" w:ascii="宋体" w:hAnsi="宋体" w:eastAsia="宋体" w:cs="宋体"/>
          <w:b/>
          <w:bCs/>
          <w:color w:val="auto"/>
          <w:sz w:val="44"/>
          <w:szCs w:val="44"/>
          <w:highlight w:val="none"/>
          <w:lang w:val="en-US" w:eastAsia="zh-CN"/>
        </w:rPr>
        <w:t>竞价</w:t>
      </w:r>
      <w:r>
        <w:rPr>
          <w:rFonts w:hint="eastAsia" w:ascii="宋体" w:hAnsi="宋体" w:eastAsia="宋体" w:cs="宋体"/>
          <w:b/>
          <w:bCs/>
          <w:color w:val="auto"/>
          <w:sz w:val="44"/>
          <w:szCs w:val="44"/>
          <w:highlight w:val="none"/>
          <w:u w:val="none" w:color="auto"/>
          <w:lang w:val="zh-TW"/>
        </w:rPr>
        <w:t>文件</w:t>
      </w:r>
    </w:p>
    <w:p w14:paraId="1A4599A5">
      <w:pPr>
        <w:pStyle w:val="30"/>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8BC5DC2">
      <w:pPr>
        <w:pStyle w:val="30"/>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2A59EEF4">
      <w:pPr>
        <w:pStyle w:val="30"/>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1799A0ED">
      <w:pPr>
        <w:pStyle w:val="30"/>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z w:val="32"/>
          <w:szCs w:val="32"/>
          <w:highlight w:val="none"/>
          <w:u w:val="single"/>
          <w:lang w:val="zh-TW"/>
        </w:rPr>
      </w:pPr>
      <w:r>
        <w:rPr>
          <w:rFonts w:hint="eastAsia" w:ascii="宋体" w:hAnsi="宋体" w:eastAsia="宋体" w:cs="宋体"/>
          <w:color w:val="auto"/>
          <w:sz w:val="32"/>
          <w:szCs w:val="32"/>
          <w:highlight w:val="none"/>
        </w:rPr>
        <w:t>响应人</w:t>
      </w:r>
      <w:r>
        <w:rPr>
          <w:rFonts w:hint="eastAsia" w:ascii="宋体" w:hAnsi="宋体" w:eastAsia="宋体" w:cs="宋体"/>
          <w:color w:val="auto"/>
          <w:sz w:val="32"/>
          <w:szCs w:val="32"/>
          <w:highlight w:val="none"/>
          <w:lang w:val="zh-TW" w:eastAsia="zh-TW"/>
        </w:rPr>
        <w:t>：</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p>
    <w:p w14:paraId="00F3CE29">
      <w:pPr>
        <w:pStyle w:val="30"/>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z w:val="32"/>
          <w:szCs w:val="32"/>
          <w:highlight w:val="none"/>
          <w:u w:val="single"/>
          <w:lang w:eastAsia="zh-TW"/>
        </w:rPr>
      </w:pPr>
      <w:r>
        <w:rPr>
          <w:rFonts w:hint="eastAsia" w:ascii="宋体" w:hAnsi="宋体" w:eastAsia="宋体" w:cs="宋体"/>
          <w:color w:val="auto"/>
          <w:sz w:val="32"/>
          <w:szCs w:val="32"/>
          <w:highlight w:val="none"/>
          <w:lang w:eastAsia="zh-TW"/>
        </w:rPr>
        <w:t>法定代表人或其委托代理人：</w:t>
      </w:r>
      <w:r>
        <w:rPr>
          <w:rFonts w:hint="eastAsia" w:ascii="宋体" w:hAnsi="宋体" w:eastAsia="宋体" w:cs="宋体"/>
          <w:color w:val="auto"/>
          <w:sz w:val="32"/>
          <w:szCs w:val="32"/>
          <w:highlight w:val="none"/>
          <w:u w:val="single"/>
          <w:lang w:eastAsia="zh-TW"/>
        </w:rPr>
        <w:t xml:space="preserve">        </w:t>
      </w:r>
    </w:p>
    <w:p w14:paraId="77EFD1CB">
      <w:pPr>
        <w:pStyle w:val="30"/>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436CA819">
      <w:pPr>
        <w:pStyle w:val="30"/>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69C8B3F5">
      <w:pPr>
        <w:pStyle w:val="30"/>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TW" w:eastAsia="zh-TW"/>
        </w:rPr>
        <w:t xml:space="preserve">编制日期：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月</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日</w:t>
      </w:r>
    </w:p>
    <w:p w14:paraId="25D1B0AF">
      <w:pPr>
        <w:pStyle w:val="30"/>
        <w:framePr w:wrap="auto" w:vAnchor="margin" w:hAnchor="text" w:yAlign="inline"/>
        <w:wordWrap w:val="0"/>
        <w:spacing w:line="520" w:lineRule="exact"/>
        <w:ind w:firstLine="177"/>
        <w:jc w:val="center"/>
        <w:rPr>
          <w:rFonts w:hint="eastAsia" w:ascii="宋体" w:hAnsi="宋体" w:eastAsia="宋体" w:cs="宋体"/>
          <w:b/>
          <w:bCs/>
          <w:color w:val="auto"/>
          <w:sz w:val="30"/>
          <w:szCs w:val="30"/>
          <w:highlight w:val="none"/>
        </w:rPr>
      </w:pPr>
    </w:p>
    <w:p w14:paraId="0EEC2C3F">
      <w:pPr>
        <w:pStyle w:val="30"/>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highlight w:val="none"/>
          <w:lang w:eastAsia="zh-CN"/>
        </w:rPr>
        <w:br w:type="page"/>
      </w:r>
    </w:p>
    <w:p w14:paraId="79C524D2">
      <w:pPr>
        <w:pStyle w:val="30"/>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z w:val="30"/>
          <w:szCs w:val="30"/>
          <w:lang w:val="en-US" w:eastAsia="zh-CN"/>
        </w:rPr>
      </w:pPr>
    </w:p>
    <w:p w14:paraId="5CBE2D13">
      <w:pPr>
        <w:pStyle w:val="30"/>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lang w:val="en-US" w:eastAsia="zh-CN"/>
        </w:rPr>
      </w:pPr>
      <w:r>
        <w:rPr>
          <w:rFonts w:hint="eastAsia" w:ascii="宋体" w:hAnsi="宋体" w:eastAsia="宋体" w:cs="宋体"/>
          <w:b w:val="0"/>
          <w:bCs w:val="0"/>
          <w:color w:val="auto"/>
          <w:sz w:val="30"/>
          <w:szCs w:val="30"/>
          <w:lang w:val="en-US" w:eastAsia="zh-CN"/>
        </w:rPr>
        <w:t>1：根据竞价文件的“第三部分 工程量清单”填写报价函</w:t>
      </w:r>
    </w:p>
    <w:p w14:paraId="46DB7C0D">
      <w:pPr>
        <w:pStyle w:val="30"/>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3B87497">
      <w:pPr>
        <w:framePr w:wrap="auto" w:vAnchor="margin" w:hAnchor="text" w:yAlign="inline"/>
        <w:rPr>
          <w:rFonts w:ascii="宋体" w:hAnsi="宋体" w:eastAsia="宋体" w:cs="宋体"/>
          <w:b w:val="0"/>
          <w:bCs w:val="0"/>
          <w:color w:val="auto"/>
          <w:sz w:val="30"/>
          <w:szCs w:val="30"/>
        </w:rPr>
      </w:pPr>
      <w:bookmarkStart w:id="18" w:name="_Toc474920011"/>
      <w:bookmarkStart w:id="19" w:name="_Toc486837000"/>
      <w:bookmarkStart w:id="20" w:name="_Toc39826987"/>
      <w:bookmarkStart w:id="21" w:name="_Toc480462724"/>
    </w:p>
    <w:p w14:paraId="57A9ED40">
      <w:pPr>
        <w:framePr w:wrap="auto" w:vAnchor="margin" w:hAnchor="text" w:yAlign="inline"/>
        <w:rPr>
          <w:rFonts w:ascii="宋体" w:hAnsi="宋体" w:eastAsia="宋体" w:cs="宋体"/>
          <w:b w:val="0"/>
          <w:bCs w:val="0"/>
          <w:color w:val="auto"/>
          <w:sz w:val="30"/>
          <w:szCs w:val="30"/>
        </w:rPr>
      </w:pPr>
    </w:p>
    <w:p w14:paraId="0D44F96D">
      <w:pPr>
        <w:framePr w:wrap="auto" w:vAnchor="margin" w:hAnchor="text" w:yAlign="inline"/>
        <w:rPr>
          <w:rFonts w:ascii="宋体" w:hAnsi="宋体" w:eastAsia="宋体" w:cs="宋体"/>
          <w:b w:val="0"/>
          <w:bCs w:val="0"/>
          <w:color w:val="auto"/>
          <w:sz w:val="30"/>
          <w:szCs w:val="30"/>
        </w:rPr>
      </w:pPr>
    </w:p>
    <w:p w14:paraId="1D03179C">
      <w:pPr>
        <w:framePr w:wrap="auto" w:vAnchor="margin" w:hAnchor="text" w:yAlign="inline"/>
        <w:rPr>
          <w:rFonts w:ascii="宋体" w:hAnsi="宋体" w:eastAsia="宋体" w:cs="宋体"/>
          <w:b w:val="0"/>
          <w:bCs w:val="0"/>
          <w:color w:val="auto"/>
          <w:sz w:val="30"/>
          <w:szCs w:val="30"/>
        </w:rPr>
      </w:pPr>
    </w:p>
    <w:p w14:paraId="3838A5F4">
      <w:pPr>
        <w:framePr w:wrap="auto" w:vAnchor="margin" w:hAnchor="text" w:yAlign="inline"/>
        <w:rPr>
          <w:rFonts w:ascii="宋体" w:hAnsi="宋体" w:eastAsia="宋体" w:cs="宋体"/>
          <w:b w:val="0"/>
          <w:bCs w:val="0"/>
          <w:color w:val="auto"/>
          <w:sz w:val="30"/>
          <w:szCs w:val="30"/>
        </w:rPr>
      </w:pPr>
    </w:p>
    <w:p w14:paraId="06AB9069">
      <w:pPr>
        <w:framePr w:wrap="auto" w:vAnchor="margin" w:hAnchor="text" w:yAlign="inline"/>
        <w:rPr>
          <w:rFonts w:ascii="宋体" w:hAnsi="宋体" w:eastAsia="宋体" w:cs="宋体"/>
          <w:b w:val="0"/>
          <w:bCs w:val="0"/>
          <w:color w:val="auto"/>
          <w:sz w:val="30"/>
          <w:szCs w:val="30"/>
        </w:rPr>
      </w:pPr>
    </w:p>
    <w:p w14:paraId="3DEA0698">
      <w:pPr>
        <w:framePr w:wrap="auto" w:vAnchor="margin" w:hAnchor="text" w:yAlign="inline"/>
        <w:rPr>
          <w:rFonts w:ascii="宋体" w:hAnsi="宋体" w:eastAsia="宋体" w:cs="宋体"/>
          <w:b w:val="0"/>
          <w:bCs w:val="0"/>
          <w:color w:val="auto"/>
          <w:sz w:val="30"/>
          <w:szCs w:val="30"/>
        </w:rPr>
      </w:pPr>
    </w:p>
    <w:p w14:paraId="0F6F0E86">
      <w:pPr>
        <w:framePr w:wrap="auto" w:vAnchor="margin" w:hAnchor="text" w:yAlign="inline"/>
        <w:rPr>
          <w:rFonts w:ascii="宋体" w:hAnsi="宋体" w:eastAsia="宋体" w:cs="宋体"/>
          <w:b w:val="0"/>
          <w:bCs w:val="0"/>
          <w:color w:val="auto"/>
          <w:sz w:val="30"/>
          <w:szCs w:val="30"/>
          <w:lang w:eastAsia="zh-CN"/>
        </w:rPr>
      </w:pPr>
    </w:p>
    <w:bookmarkEnd w:id="18"/>
    <w:bookmarkEnd w:id="19"/>
    <w:bookmarkEnd w:id="20"/>
    <w:bookmarkEnd w:id="21"/>
    <w:p w14:paraId="2676C4C5">
      <w:pPr>
        <w:pStyle w:val="30"/>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244DEB29">
      <w:pPr>
        <w:pStyle w:val="30"/>
        <w:framePr w:wrap="auto" w:vAnchor="margin" w:hAnchor="text" w:yAlign="inline"/>
        <w:wordWrap w:val="0"/>
        <w:adjustRightInd w:val="0"/>
        <w:snapToGrid w:val="0"/>
        <w:spacing w:line="360" w:lineRule="auto"/>
        <w:jc w:val="both"/>
        <w:rPr>
          <w:rFonts w:hint="eastAsia" w:ascii="宋体" w:hAnsi="宋体" w:eastAsia="宋体" w:cs="宋体"/>
          <w:b/>
          <w:bCs/>
          <w:color w:val="auto"/>
          <w:sz w:val="30"/>
          <w:szCs w:val="30"/>
          <w:highlight w:val="none"/>
        </w:rPr>
      </w:pPr>
    </w:p>
    <w:p w14:paraId="20C4C891">
      <w:pPr>
        <w:pStyle w:val="30"/>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z w:val="32"/>
          <w:szCs w:val="32"/>
          <w:highlight w:val="none"/>
        </w:rPr>
      </w:pPr>
    </w:p>
    <w:bookmarkEnd w:id="22"/>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仿宋"/>
    <w:panose1 w:val="02000000000000000000"/>
    <w:charset w:val="86"/>
    <w:family w:val="auto"/>
    <w:pitch w:val="default"/>
    <w:sig w:usb0="00000000" w:usb1="00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29"/>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29"/>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29"/>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19E2DBE"/>
    <w:rsid w:val="023A3A33"/>
    <w:rsid w:val="024300FB"/>
    <w:rsid w:val="024C15CF"/>
    <w:rsid w:val="02547825"/>
    <w:rsid w:val="02B04ABC"/>
    <w:rsid w:val="02C2004A"/>
    <w:rsid w:val="038672E8"/>
    <w:rsid w:val="043113F9"/>
    <w:rsid w:val="043F299D"/>
    <w:rsid w:val="044B0E64"/>
    <w:rsid w:val="0491260D"/>
    <w:rsid w:val="049E7588"/>
    <w:rsid w:val="05623797"/>
    <w:rsid w:val="061D0A00"/>
    <w:rsid w:val="06304F9D"/>
    <w:rsid w:val="06415FBB"/>
    <w:rsid w:val="071A025A"/>
    <w:rsid w:val="073F2629"/>
    <w:rsid w:val="07CD0348"/>
    <w:rsid w:val="07D74797"/>
    <w:rsid w:val="07ED6D23"/>
    <w:rsid w:val="081F5B7A"/>
    <w:rsid w:val="0899642B"/>
    <w:rsid w:val="09116FB1"/>
    <w:rsid w:val="095A7CB3"/>
    <w:rsid w:val="098D00AD"/>
    <w:rsid w:val="098D603B"/>
    <w:rsid w:val="09E6423A"/>
    <w:rsid w:val="0A0A4661"/>
    <w:rsid w:val="0A9B78EE"/>
    <w:rsid w:val="0AA6363C"/>
    <w:rsid w:val="0AB93C82"/>
    <w:rsid w:val="0B2B3E47"/>
    <w:rsid w:val="0B93489F"/>
    <w:rsid w:val="0BB37C4B"/>
    <w:rsid w:val="0BE81DF9"/>
    <w:rsid w:val="0C9A1D8E"/>
    <w:rsid w:val="0CC25F19"/>
    <w:rsid w:val="0D381DBD"/>
    <w:rsid w:val="0D9951E8"/>
    <w:rsid w:val="0DC363ED"/>
    <w:rsid w:val="0DDA42FC"/>
    <w:rsid w:val="0F067003"/>
    <w:rsid w:val="0FD52CE0"/>
    <w:rsid w:val="0FD9253D"/>
    <w:rsid w:val="0FDB5EA5"/>
    <w:rsid w:val="100D6828"/>
    <w:rsid w:val="10B218B8"/>
    <w:rsid w:val="10CD5EA6"/>
    <w:rsid w:val="11380CCB"/>
    <w:rsid w:val="140E413A"/>
    <w:rsid w:val="14FA6062"/>
    <w:rsid w:val="15A136FE"/>
    <w:rsid w:val="15B07E81"/>
    <w:rsid w:val="168F20CE"/>
    <w:rsid w:val="16E516C6"/>
    <w:rsid w:val="17981E8F"/>
    <w:rsid w:val="19583322"/>
    <w:rsid w:val="195E6747"/>
    <w:rsid w:val="1A5D7931"/>
    <w:rsid w:val="1AD638BE"/>
    <w:rsid w:val="1B0150F1"/>
    <w:rsid w:val="1B1D3FD6"/>
    <w:rsid w:val="1B2C7B36"/>
    <w:rsid w:val="1B7955E1"/>
    <w:rsid w:val="1BDD3DA5"/>
    <w:rsid w:val="1BED1392"/>
    <w:rsid w:val="1BFB69C0"/>
    <w:rsid w:val="1C0F29B1"/>
    <w:rsid w:val="1C322BB7"/>
    <w:rsid w:val="1CAC2181"/>
    <w:rsid w:val="1CBF1566"/>
    <w:rsid w:val="1CF20A54"/>
    <w:rsid w:val="1CFF68B4"/>
    <w:rsid w:val="1D970CFC"/>
    <w:rsid w:val="1DB23C0B"/>
    <w:rsid w:val="1EFA5217"/>
    <w:rsid w:val="1F8F77FD"/>
    <w:rsid w:val="20085EE1"/>
    <w:rsid w:val="201062FC"/>
    <w:rsid w:val="205163BE"/>
    <w:rsid w:val="219132FB"/>
    <w:rsid w:val="21C47050"/>
    <w:rsid w:val="21FD4113"/>
    <w:rsid w:val="22D00EB0"/>
    <w:rsid w:val="22F1606B"/>
    <w:rsid w:val="2351663C"/>
    <w:rsid w:val="236A02CB"/>
    <w:rsid w:val="23AB43E8"/>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B4A1AA4"/>
    <w:rsid w:val="2B774634"/>
    <w:rsid w:val="2CB12B13"/>
    <w:rsid w:val="2CFF41D5"/>
    <w:rsid w:val="2D2640D4"/>
    <w:rsid w:val="2DB33930"/>
    <w:rsid w:val="2DB7701A"/>
    <w:rsid w:val="2DB97FB3"/>
    <w:rsid w:val="2E046D43"/>
    <w:rsid w:val="2E185319"/>
    <w:rsid w:val="2E2D62CC"/>
    <w:rsid w:val="2E39100B"/>
    <w:rsid w:val="2E4034A0"/>
    <w:rsid w:val="2EDE37A2"/>
    <w:rsid w:val="2EEC77D7"/>
    <w:rsid w:val="2F690995"/>
    <w:rsid w:val="2FA03983"/>
    <w:rsid w:val="31820D34"/>
    <w:rsid w:val="31D1754E"/>
    <w:rsid w:val="320F2F73"/>
    <w:rsid w:val="322D042D"/>
    <w:rsid w:val="327E16D2"/>
    <w:rsid w:val="32D02EF5"/>
    <w:rsid w:val="32FD030B"/>
    <w:rsid w:val="33070BD3"/>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95F496C"/>
    <w:rsid w:val="3AB652D5"/>
    <w:rsid w:val="3ADE4FDE"/>
    <w:rsid w:val="3AFB30DD"/>
    <w:rsid w:val="3B286FE0"/>
    <w:rsid w:val="3B497155"/>
    <w:rsid w:val="3B9C1436"/>
    <w:rsid w:val="3BA75327"/>
    <w:rsid w:val="3C301A6B"/>
    <w:rsid w:val="3C3257D1"/>
    <w:rsid w:val="3D33006A"/>
    <w:rsid w:val="3DB15680"/>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4935E12"/>
    <w:rsid w:val="451E2F5B"/>
    <w:rsid w:val="455436D3"/>
    <w:rsid w:val="45BA47D3"/>
    <w:rsid w:val="46171F44"/>
    <w:rsid w:val="46C42F35"/>
    <w:rsid w:val="46D05AEB"/>
    <w:rsid w:val="4703605D"/>
    <w:rsid w:val="479A3252"/>
    <w:rsid w:val="4885485B"/>
    <w:rsid w:val="488C3E1C"/>
    <w:rsid w:val="493B5A4A"/>
    <w:rsid w:val="49415E3C"/>
    <w:rsid w:val="499C7517"/>
    <w:rsid w:val="4B1E4D42"/>
    <w:rsid w:val="4B9A2838"/>
    <w:rsid w:val="4CB9722B"/>
    <w:rsid w:val="4D2F1B44"/>
    <w:rsid w:val="4D6D2823"/>
    <w:rsid w:val="4EB27EE8"/>
    <w:rsid w:val="4FCF1240"/>
    <w:rsid w:val="519F2ED6"/>
    <w:rsid w:val="51EB08AF"/>
    <w:rsid w:val="524170EC"/>
    <w:rsid w:val="52885F20"/>
    <w:rsid w:val="52BA21D8"/>
    <w:rsid w:val="535328CC"/>
    <w:rsid w:val="53CD3DB2"/>
    <w:rsid w:val="53D85B2C"/>
    <w:rsid w:val="53ED3F12"/>
    <w:rsid w:val="54153486"/>
    <w:rsid w:val="54534465"/>
    <w:rsid w:val="54921FFB"/>
    <w:rsid w:val="54C942CF"/>
    <w:rsid w:val="551014B3"/>
    <w:rsid w:val="555A7110"/>
    <w:rsid w:val="555E3C11"/>
    <w:rsid w:val="55D93423"/>
    <w:rsid w:val="56472705"/>
    <w:rsid w:val="56B8033A"/>
    <w:rsid w:val="57021FF1"/>
    <w:rsid w:val="570441D3"/>
    <w:rsid w:val="577578C4"/>
    <w:rsid w:val="58F51880"/>
    <w:rsid w:val="59065871"/>
    <w:rsid w:val="591E5184"/>
    <w:rsid w:val="5A6C3B35"/>
    <w:rsid w:val="5AEC1D43"/>
    <w:rsid w:val="5B081D8F"/>
    <w:rsid w:val="5B5A24DB"/>
    <w:rsid w:val="5B841066"/>
    <w:rsid w:val="5B8F661B"/>
    <w:rsid w:val="5BAC5C27"/>
    <w:rsid w:val="5BC3207D"/>
    <w:rsid w:val="5C8C126B"/>
    <w:rsid w:val="5CAC3721"/>
    <w:rsid w:val="5CCD5552"/>
    <w:rsid w:val="5D0C4B73"/>
    <w:rsid w:val="5D1F68FE"/>
    <w:rsid w:val="5D9E0276"/>
    <w:rsid w:val="5DE16107"/>
    <w:rsid w:val="5E0377E8"/>
    <w:rsid w:val="5E550C74"/>
    <w:rsid w:val="5E7774AE"/>
    <w:rsid w:val="5F304531"/>
    <w:rsid w:val="5FFD841A"/>
    <w:rsid w:val="603D04B8"/>
    <w:rsid w:val="6056454E"/>
    <w:rsid w:val="605C5044"/>
    <w:rsid w:val="60F811B6"/>
    <w:rsid w:val="6250537A"/>
    <w:rsid w:val="62842A8A"/>
    <w:rsid w:val="628F7C91"/>
    <w:rsid w:val="62C81DDF"/>
    <w:rsid w:val="63850EF3"/>
    <w:rsid w:val="64343753"/>
    <w:rsid w:val="646B5AF4"/>
    <w:rsid w:val="650B4576"/>
    <w:rsid w:val="655B557A"/>
    <w:rsid w:val="65750EF0"/>
    <w:rsid w:val="65D05545"/>
    <w:rsid w:val="660A102C"/>
    <w:rsid w:val="662004A1"/>
    <w:rsid w:val="66DC2E14"/>
    <w:rsid w:val="66DE31DE"/>
    <w:rsid w:val="67492634"/>
    <w:rsid w:val="6785318B"/>
    <w:rsid w:val="69A057C9"/>
    <w:rsid w:val="69A27515"/>
    <w:rsid w:val="69A311B6"/>
    <w:rsid w:val="69CF659F"/>
    <w:rsid w:val="6A1B123A"/>
    <w:rsid w:val="6A9A6851"/>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35653"/>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889342D"/>
    <w:rsid w:val="789A2E8C"/>
    <w:rsid w:val="7908342F"/>
    <w:rsid w:val="79A11556"/>
    <w:rsid w:val="7A1C2C5E"/>
    <w:rsid w:val="7AE35C69"/>
    <w:rsid w:val="7B0E5932"/>
    <w:rsid w:val="7B5527F0"/>
    <w:rsid w:val="7B735A7A"/>
    <w:rsid w:val="7B7FB21E"/>
    <w:rsid w:val="7BA94AC9"/>
    <w:rsid w:val="7BB34D31"/>
    <w:rsid w:val="7BF179A9"/>
    <w:rsid w:val="7C37455E"/>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autoRedefine/>
    <w:qFormat/>
    <w:uiPriority w:val="99"/>
    <w:pPr>
      <w:tabs>
        <w:tab w:val="left" w:pos="525"/>
      </w:tabs>
      <w:snapToGrid w:val="0"/>
      <w:spacing w:line="360" w:lineRule="auto"/>
    </w:pPr>
    <w:rPr>
      <w:rFonts w:hAnsi="宋体"/>
      <w:kern w:val="2"/>
      <w:sz w:val="24"/>
      <w:szCs w:val="20"/>
    </w:rPr>
  </w:style>
  <w:style w:type="paragraph" w:styleId="12">
    <w:name w:val="footer"/>
    <w:basedOn w:val="1"/>
    <w:link w:val="38"/>
    <w:autoRedefine/>
    <w:qFormat/>
    <w:uiPriority w:val="0"/>
    <w:pPr>
      <w:tabs>
        <w:tab w:val="center" w:pos="4153"/>
        <w:tab w:val="right" w:pos="8306"/>
      </w:tabs>
      <w:snapToGrid w:val="0"/>
    </w:pPr>
    <w:rPr>
      <w:sz w:val="18"/>
      <w:szCs w:val="18"/>
    </w:rPr>
  </w:style>
  <w:style w:type="paragraph" w:styleId="13">
    <w:name w:val="header"/>
    <w:basedOn w:val="1"/>
    <w:link w:val="37"/>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Body Text Indent 3"/>
    <w:basedOn w:val="1"/>
    <w:autoRedefine/>
    <w:qFormat/>
    <w:uiPriority w:val="0"/>
    <w:pPr>
      <w:spacing w:line="360" w:lineRule="auto"/>
      <w:ind w:firstLine="560" w:firstLineChars="200"/>
    </w:pPr>
    <w:rPr>
      <w:rFonts w:ascii="宋体" w:hAnsi="宋体"/>
      <w:sz w:val="28"/>
    </w:rPr>
  </w:style>
  <w:style w:type="paragraph" w:styleId="16">
    <w:name w:val="Normal (Web)"/>
    <w:basedOn w:val="1"/>
    <w:autoRedefine/>
    <w:qFormat/>
    <w:uiPriority w:val="0"/>
    <w:pPr>
      <w:spacing w:beforeAutospacing="1" w:afterAutospacing="1"/>
    </w:pPr>
    <w:rPr>
      <w:lang w:eastAsia="zh-CN"/>
    </w:rPr>
  </w:style>
  <w:style w:type="paragraph" w:styleId="1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8">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Hyperlink"/>
    <w:autoRedefine/>
    <w:qFormat/>
    <w:uiPriority w:val="0"/>
    <w:rPr>
      <w:u w:val="single"/>
    </w:rPr>
  </w:style>
  <w:style w:type="paragraph" w:customStyle="1" w:styleId="24">
    <w:name w:val="BodyText1I2"/>
    <w:basedOn w:val="25"/>
    <w:next w:val="1"/>
    <w:autoRedefine/>
    <w:qFormat/>
    <w:uiPriority w:val="0"/>
  </w:style>
  <w:style w:type="paragraph" w:customStyle="1" w:styleId="25">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6">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customStyle="1" w:styleId="27">
    <w:name w:val="正文正"/>
    <w:basedOn w:val="1"/>
    <w:autoRedefine/>
    <w:qFormat/>
    <w:uiPriority w:val="0"/>
    <w:pPr>
      <w:spacing w:line="560" w:lineRule="exact"/>
      <w:ind w:firstLine="561"/>
    </w:pPr>
    <w:rPr>
      <w:rFonts w:ascii="Calibri" w:hAnsi="Calibri"/>
      <w:sz w:val="28"/>
      <w:szCs w:val="28"/>
    </w:rPr>
  </w:style>
  <w:style w:type="table" w:customStyle="1" w:styleId="28">
    <w:name w:val="Table Normal"/>
    <w:autoRedefine/>
    <w:qFormat/>
    <w:uiPriority w:val="0"/>
    <w:tblPr>
      <w:tblCellMar>
        <w:top w:w="0" w:type="dxa"/>
        <w:left w:w="0" w:type="dxa"/>
        <w:bottom w:w="0" w:type="dxa"/>
        <w:right w:w="0" w:type="dxa"/>
      </w:tblCellMar>
    </w:tblPr>
  </w:style>
  <w:style w:type="paragraph" w:customStyle="1" w:styleId="29">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0">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1">
    <w:name w:val="List Paragraph"/>
    <w:basedOn w:val="1"/>
    <w:autoRedefine/>
    <w:qFormat/>
    <w:uiPriority w:val="0"/>
    <w:pPr>
      <w:ind w:firstLine="420" w:firstLineChars="200"/>
    </w:pPr>
  </w:style>
  <w:style w:type="paragraph" w:customStyle="1" w:styleId="32">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3">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34">
    <w:name w:val="font41"/>
    <w:basedOn w:val="21"/>
    <w:autoRedefine/>
    <w:qFormat/>
    <w:uiPriority w:val="0"/>
    <w:rPr>
      <w:rFonts w:ascii="黑体" w:hAnsi="宋体" w:eastAsia="黑体" w:cs="黑体"/>
      <w:b/>
      <w:color w:val="000000"/>
      <w:sz w:val="21"/>
      <w:szCs w:val="21"/>
      <w:u w:val="none"/>
    </w:rPr>
  </w:style>
  <w:style w:type="paragraph" w:customStyle="1" w:styleId="35">
    <w:name w:val="Table Paragraph"/>
    <w:basedOn w:val="1"/>
    <w:autoRedefine/>
    <w:qFormat/>
    <w:uiPriority w:val="1"/>
    <w:rPr>
      <w:rFonts w:ascii="宋体" w:hAnsi="宋体" w:eastAsia="宋体" w:cs="宋体"/>
      <w:lang w:val="zh-CN" w:eastAsia="zh-CN" w:bidi="zh-CN"/>
    </w:rPr>
  </w:style>
  <w:style w:type="character" w:customStyle="1" w:styleId="36">
    <w:name w:val="font81"/>
    <w:basedOn w:val="21"/>
    <w:autoRedefine/>
    <w:qFormat/>
    <w:uiPriority w:val="0"/>
    <w:rPr>
      <w:rFonts w:hint="default" w:ascii="Calibri" w:hAnsi="Calibri" w:cs="Calibri"/>
      <w:color w:val="000000"/>
      <w:sz w:val="18"/>
      <w:szCs w:val="18"/>
      <w:u w:val="none"/>
    </w:rPr>
  </w:style>
  <w:style w:type="character" w:customStyle="1" w:styleId="37">
    <w:name w:val="页眉 字符"/>
    <w:basedOn w:val="21"/>
    <w:link w:val="13"/>
    <w:autoRedefine/>
    <w:qFormat/>
    <w:uiPriority w:val="0"/>
    <w:rPr>
      <w:rFonts w:eastAsia="Arial Unicode MS"/>
      <w:sz w:val="18"/>
      <w:szCs w:val="18"/>
      <w:lang w:eastAsia="en-US"/>
    </w:rPr>
  </w:style>
  <w:style w:type="character" w:customStyle="1" w:styleId="38">
    <w:name w:val="页脚 字符"/>
    <w:basedOn w:val="21"/>
    <w:link w:val="12"/>
    <w:autoRedefine/>
    <w:qFormat/>
    <w:uiPriority w:val="0"/>
    <w:rPr>
      <w:rFonts w:eastAsia="Arial Unicode MS"/>
      <w:sz w:val="18"/>
      <w:szCs w:val="18"/>
      <w:lang w:eastAsia="en-US"/>
    </w:rPr>
  </w:style>
  <w:style w:type="paragraph" w:customStyle="1" w:styleId="39">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0">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1">
    <w:name w:val="Table Text"/>
    <w:basedOn w:val="1"/>
    <w:autoRedefine/>
    <w:semiHidden/>
    <w:qFormat/>
    <w:uiPriority w:val="0"/>
    <w:rPr>
      <w:rFonts w:ascii="宋体" w:hAnsi="宋体" w:eastAsia="宋体" w:cs="宋体"/>
      <w:sz w:val="22"/>
      <w:szCs w:val="22"/>
      <w:lang w:val="en-US" w:eastAsia="en-US" w:bidi="ar-SA"/>
    </w:rPr>
  </w:style>
  <w:style w:type="character" w:customStyle="1" w:styleId="42">
    <w:name w:val="NormalCharacter"/>
    <w:qFormat/>
    <w:uiPriority w:val="0"/>
    <w:rPr>
      <w:rFonts w:ascii="Times New Roman" w:hAnsi="Times New Roman" w:eastAsia="宋体"/>
    </w:rPr>
  </w:style>
  <w:style w:type="character" w:customStyle="1" w:styleId="43">
    <w:name w:val="font31"/>
    <w:basedOn w:val="2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79</Pages>
  <Words>1473</Words>
  <Characters>1644</Characters>
  <Lines>1</Lines>
  <Paragraphs>1</Paragraphs>
  <TotalTime>5</TotalTime>
  <ScaleCrop>false</ScaleCrop>
  <LinksUpToDate>false</LinksUpToDate>
  <CharactersWithSpaces>1670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H</cp:lastModifiedBy>
  <cp:lastPrinted>2022-11-11T03:25:00Z</cp:lastPrinted>
  <dcterms:modified xsi:type="dcterms:W3CDTF">2025-11-04T06:57:19Z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CCCDB57D4ADD449FB5CC6ED415673150_13</vt:lpwstr>
  </property>
  <property fmtid="{D5CDD505-2E9C-101B-9397-08002B2CF9AE}" pid="4" name="commondata">
    <vt:lpwstr>eyJoZGlkIjoiYjJkZmE2OTBmZTMyMzA3ODFhOGJmNmE3MTVmOWE3YWEifQ==</vt:lpwstr>
  </property>
  <property fmtid="{D5CDD505-2E9C-101B-9397-08002B2CF9AE}" pid="5" name="KSOTemplateDocerSaveRecord">
    <vt:lpwstr>eyJoZGlkIjoiNGNhYjNjYTJjMTZkY2RjMWVmYzNiZTc3ZmUyZjg1NmUiLCJ1c2VySWQiOiI0MjUwMzg2NjkifQ==</vt:lpwstr>
  </property>
</Properties>
</file>