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1B38E2">
      <w:pPr>
        <w:widowControl w:val="0"/>
        <w:wordWrap w:val="0"/>
        <w:spacing w:line="288" w:lineRule="auto"/>
        <w:ind w:right="204" w:rightChars="97"/>
        <w:jc w:val="center"/>
        <w:rPr>
          <w:rFonts w:hint="eastAsia" w:ascii="宋体" w:hAnsi="宋体" w:eastAsia="宋体"/>
          <w:b/>
          <w:color w:val="auto"/>
          <w:sz w:val="48"/>
          <w:szCs w:val="48"/>
          <w:u w:val="none"/>
          <w:lang w:val="en-US" w:eastAsia="zh-CN"/>
        </w:rPr>
      </w:pPr>
      <w:r>
        <w:rPr>
          <w:rFonts w:hint="eastAsia" w:ascii="宋体" w:hAnsi="宋体"/>
          <w:b/>
          <w:color w:val="auto"/>
          <w:sz w:val="48"/>
          <w:szCs w:val="48"/>
          <w:u w:val="none"/>
          <w:lang w:val="en-US" w:eastAsia="zh-CN"/>
        </w:rPr>
        <w:t>广东省惠州市惠东县城三联生活污水处理厂及蕉田至三联片区配套管网建设工程项目施工</w:t>
      </w:r>
    </w:p>
    <w:p w14:paraId="3B29EEBD">
      <w:pPr>
        <w:spacing w:line="240" w:lineRule="auto"/>
        <w:ind w:firstLine="0" w:firstLineChars="0"/>
        <w:jc w:val="both"/>
        <w:outlineLvl w:val="9"/>
        <w:rPr>
          <w:rFonts w:hint="eastAsia"/>
          <w:color w:val="auto"/>
          <w:sz w:val="40"/>
          <w:szCs w:val="40"/>
          <w:u w:val="none"/>
          <w:lang w:val="en-US" w:eastAsia="zh-CN"/>
        </w:rPr>
      </w:pPr>
    </w:p>
    <w:p w14:paraId="43F3A5D0">
      <w:pPr>
        <w:spacing w:line="240" w:lineRule="auto"/>
        <w:ind w:firstLine="0" w:firstLineChars="0"/>
        <w:outlineLvl w:val="9"/>
        <w:rPr>
          <w:rFonts w:hint="eastAsia"/>
          <w:color w:val="auto"/>
          <w:sz w:val="52"/>
          <w:szCs w:val="52"/>
          <w:lang w:val="en-US" w:eastAsia="zh-CN"/>
        </w:rPr>
      </w:pPr>
    </w:p>
    <w:p w14:paraId="77C161A4">
      <w:pPr>
        <w:spacing w:line="240" w:lineRule="auto"/>
        <w:ind w:firstLine="0" w:firstLineChars="0"/>
        <w:outlineLvl w:val="9"/>
        <w:rPr>
          <w:rFonts w:hint="eastAsia"/>
          <w:color w:val="auto"/>
          <w:sz w:val="52"/>
          <w:szCs w:val="52"/>
          <w:lang w:val="en-US" w:eastAsia="zh-CN"/>
        </w:rPr>
      </w:pPr>
    </w:p>
    <w:p w14:paraId="7169D2AE">
      <w:pPr>
        <w:rPr>
          <w:rFonts w:hint="eastAsia"/>
          <w:color w:val="auto"/>
          <w:sz w:val="52"/>
          <w:szCs w:val="52"/>
          <w:lang w:val="en-US" w:eastAsia="zh-CN"/>
        </w:rPr>
      </w:pPr>
    </w:p>
    <w:p w14:paraId="3076E73B">
      <w:pPr>
        <w:widowControl w:val="0"/>
        <w:wordWrap w:val="0"/>
        <w:spacing w:line="288" w:lineRule="auto"/>
        <w:jc w:val="center"/>
        <w:rPr>
          <w:rFonts w:hint="eastAsia" w:ascii="宋体" w:hAnsi="宋体" w:eastAsia="宋体"/>
          <w:b/>
          <w:color w:val="auto"/>
          <w:sz w:val="52"/>
          <w:szCs w:val="52"/>
          <w:u w:val="none"/>
          <w:lang w:val="en-US" w:eastAsia="zh-CN"/>
        </w:rPr>
      </w:pPr>
    </w:p>
    <w:p w14:paraId="471FE15E">
      <w:pPr>
        <w:widowControl w:val="0"/>
        <w:wordWrap w:val="0"/>
        <w:spacing w:line="288" w:lineRule="auto"/>
        <w:ind w:right="204" w:rightChars="97"/>
        <w:jc w:val="center"/>
        <w:rPr>
          <w:rFonts w:hint="eastAsia" w:ascii="宋体" w:hAnsi="宋体"/>
          <w:b/>
          <w:color w:val="auto"/>
          <w:sz w:val="48"/>
          <w:szCs w:val="48"/>
          <w:u w:val="none"/>
          <w:lang w:val="en-US" w:eastAsia="zh-CN"/>
        </w:rPr>
      </w:pPr>
      <w:r>
        <w:rPr>
          <w:rFonts w:hint="eastAsia" w:ascii="宋体" w:hAnsi="宋体"/>
          <w:b/>
          <w:color w:val="auto"/>
          <w:sz w:val="48"/>
          <w:szCs w:val="48"/>
          <w:u w:val="none"/>
          <w:lang w:val="en-US" w:eastAsia="zh-CN"/>
        </w:rPr>
        <w:t>编号（25-2）土方机械及材料租赁</w:t>
      </w:r>
    </w:p>
    <w:p w14:paraId="22788B21">
      <w:pPr>
        <w:widowControl w:val="0"/>
        <w:wordWrap w:val="0"/>
        <w:spacing w:line="288" w:lineRule="auto"/>
        <w:ind w:right="204" w:rightChars="97"/>
        <w:jc w:val="center"/>
        <w:rPr>
          <w:rFonts w:ascii="宋体" w:hAnsi="宋体" w:eastAsia="宋体"/>
          <w:b/>
          <w:color w:val="auto"/>
          <w:sz w:val="48"/>
          <w:szCs w:val="48"/>
          <w:u w:val="none"/>
          <w:lang w:eastAsia="zh-CN"/>
        </w:rPr>
      </w:pPr>
      <w:r>
        <w:rPr>
          <w:rFonts w:hint="eastAsia" w:ascii="宋体" w:hAnsi="宋体" w:eastAsia="宋体"/>
          <w:b/>
          <w:color w:val="auto"/>
          <w:sz w:val="48"/>
          <w:szCs w:val="48"/>
          <w:u w:val="none"/>
          <w:lang w:eastAsia="zh-CN"/>
        </w:rPr>
        <w:t>竞价文件</w:t>
      </w:r>
    </w:p>
    <w:p w14:paraId="59D9E24E">
      <w:pPr>
        <w:outlineLvl w:val="9"/>
        <w:rPr>
          <w:color w:val="auto"/>
          <w:lang w:eastAsia="zh-CN"/>
        </w:rPr>
      </w:pPr>
    </w:p>
    <w:p w14:paraId="52A0C64C">
      <w:pPr>
        <w:outlineLvl w:val="9"/>
        <w:rPr>
          <w:color w:val="auto"/>
          <w:lang w:eastAsia="zh-CN"/>
        </w:rPr>
      </w:pPr>
    </w:p>
    <w:p w14:paraId="0A170976">
      <w:pPr>
        <w:outlineLvl w:val="9"/>
        <w:rPr>
          <w:color w:val="auto"/>
          <w:lang w:eastAsia="zh-CN"/>
        </w:rPr>
      </w:pPr>
    </w:p>
    <w:p w14:paraId="08DCB3BD">
      <w:pPr>
        <w:outlineLvl w:val="9"/>
        <w:rPr>
          <w:color w:val="auto"/>
          <w:lang w:eastAsia="zh-CN"/>
        </w:rPr>
      </w:pPr>
    </w:p>
    <w:p w14:paraId="4D3BBCE2">
      <w:pPr>
        <w:widowControl w:val="0"/>
        <w:wordWrap w:val="0"/>
        <w:spacing w:line="360" w:lineRule="auto"/>
        <w:ind w:firstLine="640" w:firstLineChars="200"/>
        <w:jc w:val="both"/>
        <w:rPr>
          <w:rFonts w:ascii="宋体" w:hAnsi="宋体" w:eastAsia="宋体"/>
          <w:color w:val="auto"/>
          <w:sz w:val="32"/>
          <w:szCs w:val="32"/>
          <w:lang w:eastAsia="zh-CN"/>
        </w:rPr>
      </w:pPr>
    </w:p>
    <w:p w14:paraId="4F79B0E2">
      <w:pPr>
        <w:widowControl w:val="0"/>
        <w:wordWrap w:val="0"/>
        <w:spacing w:line="360" w:lineRule="auto"/>
        <w:ind w:firstLine="640" w:firstLineChars="200"/>
        <w:jc w:val="both"/>
        <w:rPr>
          <w:rFonts w:ascii="宋体" w:hAnsi="宋体" w:eastAsia="宋体"/>
          <w:color w:val="auto"/>
          <w:sz w:val="32"/>
          <w:szCs w:val="32"/>
          <w:lang w:eastAsia="zh-CN"/>
        </w:rPr>
      </w:pPr>
    </w:p>
    <w:p w14:paraId="5D9B0EEB">
      <w:pPr>
        <w:widowControl w:val="0"/>
        <w:wordWrap w:val="0"/>
        <w:spacing w:line="360" w:lineRule="auto"/>
        <w:ind w:firstLine="640" w:firstLineChars="200"/>
        <w:jc w:val="both"/>
        <w:rPr>
          <w:rFonts w:ascii="宋体" w:hAnsi="宋体" w:eastAsia="宋体"/>
          <w:color w:val="auto"/>
          <w:sz w:val="32"/>
          <w:szCs w:val="32"/>
          <w:lang w:eastAsia="zh-CN"/>
        </w:rPr>
      </w:pPr>
    </w:p>
    <w:p w14:paraId="6208C42D">
      <w:pPr>
        <w:widowControl w:val="0"/>
        <w:wordWrap w:val="0"/>
        <w:spacing w:line="360" w:lineRule="auto"/>
        <w:ind w:firstLine="640" w:firstLineChars="200"/>
        <w:jc w:val="both"/>
        <w:rPr>
          <w:rFonts w:ascii="宋体" w:hAnsi="宋体" w:eastAsia="宋体"/>
          <w:color w:val="auto"/>
          <w:sz w:val="32"/>
          <w:szCs w:val="32"/>
          <w:lang w:eastAsia="zh-CN"/>
        </w:rPr>
      </w:pPr>
    </w:p>
    <w:p w14:paraId="10A93EFB">
      <w:pPr>
        <w:widowControl w:val="0"/>
        <w:wordWrap w:val="0"/>
        <w:spacing w:line="360" w:lineRule="auto"/>
        <w:jc w:val="center"/>
        <w:rPr>
          <w:rFonts w:hint="eastAsia" w:ascii="宋体" w:hAnsi="宋体" w:eastAsia="宋体" w:cs="Times New Roman"/>
          <w:b/>
          <w:color w:val="auto"/>
          <w:sz w:val="32"/>
          <w:szCs w:val="32"/>
          <w:lang w:eastAsia="zh-CN"/>
        </w:rPr>
      </w:pPr>
      <w:r>
        <w:rPr>
          <w:rFonts w:hint="eastAsia" w:ascii="宋体" w:hAnsi="宋体" w:eastAsia="宋体" w:cs="Times New Roman"/>
          <w:b/>
          <w:color w:val="auto"/>
          <w:sz w:val="32"/>
          <w:szCs w:val="32"/>
          <w:lang w:val="en-US" w:eastAsia="zh-CN"/>
        </w:rPr>
        <w:t>广东路通达建设工程有限公司</w:t>
      </w:r>
    </w:p>
    <w:p w14:paraId="28190B11">
      <w:pPr>
        <w:widowControl w:val="0"/>
        <w:wordWrap w:val="0"/>
        <w:spacing w:line="360" w:lineRule="auto"/>
        <w:jc w:val="center"/>
        <w:rPr>
          <w:rFonts w:hint="eastAsia" w:ascii="宋体" w:hAnsi="宋体" w:eastAsia="宋体"/>
          <w:b/>
          <w:color w:val="auto"/>
          <w:sz w:val="32"/>
          <w:szCs w:val="32"/>
          <w:lang w:eastAsia="zh-CN"/>
        </w:rPr>
      </w:pPr>
      <w:r>
        <w:rPr>
          <w:rFonts w:hint="eastAsia" w:ascii="宋体" w:hAnsi="宋体"/>
          <w:b/>
          <w:color w:val="auto"/>
          <w:sz w:val="32"/>
          <w:szCs w:val="32"/>
          <w:lang w:eastAsia="zh-CN"/>
        </w:rPr>
        <w:t>惠州市天逸咨询有限公司</w:t>
      </w:r>
    </w:p>
    <w:p w14:paraId="233C5FD5">
      <w:pPr>
        <w:widowControl w:val="0"/>
        <w:wordWrap w:val="0"/>
        <w:spacing w:line="360" w:lineRule="auto"/>
        <w:jc w:val="center"/>
        <w:rPr>
          <w:rFonts w:hint="eastAsia" w:ascii="宋体" w:hAnsi="宋体" w:eastAsia="宋体" w:cs="宋体"/>
          <w:b/>
          <w:bCs/>
          <w:color w:val="auto"/>
          <w:sz w:val="44"/>
          <w:szCs w:val="44"/>
          <w:lang w:eastAsia="zh-CN"/>
        </w:rPr>
      </w:pPr>
      <w:r>
        <w:rPr>
          <w:rFonts w:hint="eastAsia" w:ascii="宋体" w:hAnsi="宋体" w:cs="Times New Roman"/>
          <w:b/>
          <w:color w:val="auto"/>
          <w:sz w:val="32"/>
          <w:szCs w:val="32"/>
          <w:lang w:eastAsia="zh-CN"/>
        </w:rPr>
        <w:t>2023年9月21日</w:t>
      </w:r>
    </w:p>
    <w:p w14:paraId="41A7A068">
      <w:pPr>
        <w:pStyle w:val="19"/>
        <w:framePr w:wrap="auto" w:vAnchor="margin" w:hAnchor="text" w:yAlign="inline"/>
        <w:wordWrap w:val="0"/>
        <w:spacing w:line="440" w:lineRule="exact"/>
        <w:jc w:val="center"/>
        <w:rPr>
          <w:rFonts w:ascii="宋体" w:hAnsi="宋体" w:eastAsia="宋体" w:cs="宋体"/>
          <w:b/>
          <w:bCs/>
          <w:color w:val="auto"/>
          <w:sz w:val="44"/>
          <w:szCs w:val="44"/>
          <w:lang w:val="zh-TW" w:eastAsia="zh-TW"/>
        </w:rPr>
      </w:pPr>
    </w:p>
    <w:p w14:paraId="5694BEE5">
      <w:pPr>
        <w:pStyle w:val="19"/>
        <w:framePr w:wrap="auto" w:vAnchor="margin" w:hAnchor="text" w:yAlign="inline"/>
        <w:wordWrap w:val="0"/>
        <w:spacing w:line="440" w:lineRule="exact"/>
        <w:jc w:val="center"/>
        <w:rPr>
          <w:rFonts w:ascii="宋体" w:hAnsi="宋体" w:eastAsia="宋体" w:cs="宋体"/>
          <w:b/>
          <w:bCs/>
          <w:color w:val="auto"/>
          <w:sz w:val="44"/>
          <w:szCs w:val="44"/>
          <w:lang w:val="zh-TW" w:eastAsia="zh-TW"/>
        </w:rPr>
      </w:pPr>
    </w:p>
    <w:p w14:paraId="586C9EA8">
      <w:pPr>
        <w:pStyle w:val="19"/>
        <w:framePr w:wrap="auto" w:vAnchor="margin" w:hAnchor="text" w:yAlign="inline"/>
        <w:wordWrap w:val="0"/>
        <w:spacing w:line="440" w:lineRule="exact"/>
        <w:jc w:val="center"/>
        <w:rPr>
          <w:rFonts w:ascii="宋体" w:hAnsi="宋体" w:eastAsia="宋体" w:cs="宋体"/>
          <w:b/>
          <w:bCs/>
          <w:color w:val="auto"/>
          <w:sz w:val="44"/>
          <w:szCs w:val="44"/>
          <w:lang w:val="zh-TW" w:eastAsia="zh-TW"/>
        </w:rPr>
        <w:sectPr>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28F322BC">
      <w:pPr>
        <w:jc w:val="center"/>
        <w:rPr>
          <w:rFonts w:hint="eastAsia" w:ascii="宋体" w:hAnsi="宋体" w:eastAsia="宋体" w:cs="宋体"/>
          <w:b/>
          <w:bCs/>
          <w:color w:val="auto"/>
          <w:sz w:val="44"/>
          <w:szCs w:val="44"/>
          <w:lang w:val="zh-TW" w:eastAsia="zh-TW"/>
        </w:rPr>
      </w:pPr>
      <w:r>
        <w:rPr>
          <w:rFonts w:hint="eastAsia" w:ascii="宋体" w:hAnsi="宋体" w:eastAsia="宋体" w:cs="宋体"/>
          <w:b/>
          <w:bCs/>
          <w:color w:val="auto"/>
          <w:sz w:val="44"/>
          <w:szCs w:val="44"/>
          <w:lang w:val="zh-TW" w:eastAsia="zh-TW"/>
        </w:rPr>
        <w:t>目    录</w:t>
      </w:r>
    </w:p>
    <w:p w14:paraId="180E45BC">
      <w:pPr>
        <w:jc w:val="center"/>
        <w:rPr>
          <w:rFonts w:hint="eastAsia" w:ascii="宋体" w:hAnsi="宋体" w:eastAsia="宋体" w:cs="宋体"/>
          <w:b/>
          <w:bCs/>
          <w:color w:val="auto"/>
          <w:sz w:val="44"/>
          <w:szCs w:val="44"/>
          <w:lang w:val="zh-TW" w:eastAsia="zh-TW"/>
        </w:rPr>
      </w:pPr>
    </w:p>
    <w:p w14:paraId="453FC656">
      <w:pPr>
        <w:pStyle w:val="19"/>
        <w:framePr w:wrap="auto" w:vAnchor="margin" w:hAnchor="text" w:yAlign="inline"/>
        <w:wordWrap w:val="0"/>
        <w:spacing w:line="440" w:lineRule="exact"/>
        <w:ind w:firstLine="560"/>
        <w:rPr>
          <w:rFonts w:hint="eastAsia" w:ascii="宋体" w:hAnsi="宋体" w:eastAsia="宋体" w:cs="宋体"/>
          <w:color w:val="auto"/>
          <w:sz w:val="28"/>
          <w:szCs w:val="28"/>
        </w:rPr>
      </w:pPr>
    </w:p>
    <w:p w14:paraId="654FFFB6">
      <w:pPr>
        <w:pStyle w:val="6"/>
        <w:tabs>
          <w:tab w:val="right" w:leader="dot" w:pos="8294"/>
        </w:tabs>
        <w:spacing w:line="720" w:lineRule="auto"/>
        <w:rPr>
          <w:color w:val="auto"/>
          <w:sz w:val="36"/>
          <w:szCs w:val="44"/>
        </w:rPr>
      </w:pPr>
      <w:r>
        <w:rPr>
          <w:rFonts w:hint="default" w:ascii="宋体" w:hAnsi="宋体" w:eastAsia="宋体" w:cs="宋体"/>
          <w:b/>
          <w:bCs/>
          <w:color w:val="auto"/>
          <w:sz w:val="48"/>
          <w:szCs w:val="48"/>
        </w:rPr>
        <w:fldChar w:fldCharType="begin"/>
      </w:r>
      <w:r>
        <w:rPr>
          <w:rFonts w:hint="default" w:ascii="宋体" w:hAnsi="宋体" w:eastAsia="宋体" w:cs="宋体"/>
          <w:b/>
          <w:bCs/>
          <w:color w:val="auto"/>
          <w:sz w:val="48"/>
          <w:szCs w:val="48"/>
        </w:rPr>
        <w:instrText xml:space="preserve">TOC \o "1-1" \h \u </w:instrText>
      </w:r>
      <w:r>
        <w:rPr>
          <w:rFonts w:hint="default" w:ascii="宋体" w:hAnsi="宋体" w:eastAsia="宋体" w:cs="宋体"/>
          <w:b/>
          <w:bCs/>
          <w:color w:val="auto"/>
          <w:sz w:val="48"/>
          <w:szCs w:val="48"/>
        </w:rPr>
        <w:fldChar w:fldCharType="separate"/>
      </w:r>
      <w:r>
        <w:rPr>
          <w:rFonts w:hint="default" w:ascii="宋体" w:hAnsi="宋体" w:eastAsia="宋体" w:cs="宋体"/>
          <w:bCs/>
          <w:color w:val="auto"/>
          <w:sz w:val="36"/>
          <w:szCs w:val="48"/>
        </w:rPr>
        <w:fldChar w:fldCharType="begin"/>
      </w:r>
      <w:r>
        <w:rPr>
          <w:rFonts w:hint="default" w:ascii="宋体" w:hAnsi="宋体" w:eastAsia="宋体" w:cs="宋体"/>
          <w:bCs/>
          <w:color w:val="auto"/>
          <w:sz w:val="36"/>
          <w:szCs w:val="48"/>
        </w:rPr>
        <w:instrText xml:space="preserve"> HYPERLINK \l _Toc15208 </w:instrText>
      </w:r>
      <w:r>
        <w:rPr>
          <w:rFonts w:hint="default" w:ascii="宋体" w:hAnsi="宋体" w:eastAsia="宋体" w:cs="宋体"/>
          <w:bCs/>
          <w:color w:val="auto"/>
          <w:sz w:val="36"/>
          <w:szCs w:val="48"/>
        </w:rPr>
        <w:fldChar w:fldCharType="separate"/>
      </w:r>
      <w:r>
        <w:rPr>
          <w:rFonts w:ascii="宋体" w:hAnsi="宋体" w:eastAsia="宋体" w:cs="宋体"/>
          <w:bCs/>
          <w:color w:val="auto"/>
          <w:sz w:val="36"/>
          <w:szCs w:val="52"/>
          <w:lang w:val="zh-TW" w:eastAsia="zh-TW"/>
        </w:rPr>
        <w:t xml:space="preserve">第一部分 </w:t>
      </w:r>
      <w:r>
        <w:rPr>
          <w:rFonts w:hint="eastAsia" w:ascii="宋体" w:hAnsi="宋体" w:eastAsia="宋体" w:cs="宋体"/>
          <w:bCs/>
          <w:color w:val="auto"/>
          <w:sz w:val="36"/>
          <w:szCs w:val="52"/>
          <w:lang w:eastAsia="zh-CN"/>
        </w:rPr>
        <w:t>竞价公告</w:t>
      </w:r>
      <w:r>
        <w:rPr>
          <w:color w:val="auto"/>
          <w:sz w:val="36"/>
          <w:szCs w:val="44"/>
        </w:rPr>
        <w:tab/>
      </w:r>
      <w:r>
        <w:rPr>
          <w:color w:val="auto"/>
          <w:sz w:val="36"/>
          <w:szCs w:val="44"/>
        </w:rPr>
        <w:fldChar w:fldCharType="begin"/>
      </w:r>
      <w:r>
        <w:rPr>
          <w:color w:val="auto"/>
          <w:sz w:val="36"/>
          <w:szCs w:val="44"/>
        </w:rPr>
        <w:instrText xml:space="preserve"> PAGEREF _Toc15208 \h </w:instrText>
      </w:r>
      <w:r>
        <w:rPr>
          <w:color w:val="auto"/>
          <w:sz w:val="36"/>
          <w:szCs w:val="44"/>
        </w:rPr>
        <w:fldChar w:fldCharType="separate"/>
      </w:r>
      <w:r>
        <w:rPr>
          <w:color w:val="auto"/>
          <w:sz w:val="36"/>
          <w:szCs w:val="44"/>
        </w:rPr>
        <w:t>3</w:t>
      </w:r>
      <w:r>
        <w:rPr>
          <w:color w:val="auto"/>
          <w:sz w:val="36"/>
          <w:szCs w:val="44"/>
        </w:rPr>
        <w:fldChar w:fldCharType="end"/>
      </w:r>
      <w:r>
        <w:rPr>
          <w:rFonts w:hint="default" w:ascii="宋体" w:hAnsi="宋体" w:eastAsia="宋体" w:cs="宋体"/>
          <w:bCs/>
          <w:color w:val="auto"/>
          <w:sz w:val="36"/>
          <w:szCs w:val="48"/>
        </w:rPr>
        <w:fldChar w:fldCharType="end"/>
      </w:r>
    </w:p>
    <w:p w14:paraId="79DCCBDF">
      <w:pPr>
        <w:pStyle w:val="6"/>
        <w:tabs>
          <w:tab w:val="right" w:leader="dot" w:pos="8294"/>
        </w:tabs>
        <w:spacing w:line="720" w:lineRule="auto"/>
        <w:rPr>
          <w:color w:val="auto"/>
          <w:sz w:val="36"/>
          <w:szCs w:val="44"/>
        </w:rPr>
      </w:pPr>
      <w:r>
        <w:rPr>
          <w:rFonts w:hint="default" w:ascii="宋体" w:hAnsi="宋体" w:eastAsia="宋体" w:cs="宋体"/>
          <w:bCs/>
          <w:color w:val="auto"/>
          <w:sz w:val="36"/>
          <w:szCs w:val="48"/>
        </w:rPr>
        <w:fldChar w:fldCharType="begin"/>
      </w:r>
      <w:r>
        <w:rPr>
          <w:rFonts w:hint="default" w:ascii="宋体" w:hAnsi="宋体" w:eastAsia="宋体" w:cs="宋体"/>
          <w:bCs/>
          <w:color w:val="auto"/>
          <w:sz w:val="36"/>
          <w:szCs w:val="48"/>
        </w:rPr>
        <w:instrText xml:space="preserve"> HYPERLINK \l _Toc1993 </w:instrText>
      </w:r>
      <w:r>
        <w:rPr>
          <w:rFonts w:hint="default" w:ascii="宋体" w:hAnsi="宋体" w:eastAsia="宋体" w:cs="宋体"/>
          <w:bCs/>
          <w:color w:val="auto"/>
          <w:sz w:val="36"/>
          <w:szCs w:val="48"/>
        </w:rPr>
        <w:fldChar w:fldCharType="separate"/>
      </w:r>
      <w:r>
        <w:rPr>
          <w:rFonts w:ascii="宋体" w:hAnsi="宋体" w:eastAsia="宋体" w:cs="宋体"/>
          <w:bCs/>
          <w:color w:val="auto"/>
          <w:sz w:val="36"/>
          <w:szCs w:val="52"/>
          <w:lang w:val="zh-TW" w:eastAsia="zh-TW"/>
        </w:rPr>
        <w:t>第</w:t>
      </w:r>
      <w:r>
        <w:rPr>
          <w:rFonts w:hint="eastAsia" w:ascii="宋体" w:hAnsi="宋体" w:eastAsia="宋体" w:cs="宋体"/>
          <w:bCs/>
          <w:color w:val="auto"/>
          <w:sz w:val="36"/>
          <w:szCs w:val="52"/>
          <w:lang w:eastAsia="zh-CN"/>
        </w:rPr>
        <w:t>二</w:t>
      </w:r>
      <w:r>
        <w:rPr>
          <w:rFonts w:ascii="宋体" w:hAnsi="宋体" w:eastAsia="宋体" w:cs="宋体"/>
          <w:bCs/>
          <w:color w:val="auto"/>
          <w:sz w:val="36"/>
          <w:szCs w:val="52"/>
          <w:lang w:val="zh-TW" w:eastAsia="zh-TW"/>
        </w:rPr>
        <w:t xml:space="preserve">部分 </w:t>
      </w:r>
      <w:r>
        <w:rPr>
          <w:rFonts w:hint="eastAsia" w:ascii="宋体" w:hAnsi="宋体" w:eastAsia="宋体" w:cs="宋体"/>
          <w:bCs/>
          <w:color w:val="auto"/>
          <w:sz w:val="36"/>
          <w:szCs w:val="52"/>
          <w:lang w:eastAsia="zh-CN"/>
        </w:rPr>
        <w:t>参选人须知</w:t>
      </w:r>
      <w:r>
        <w:rPr>
          <w:color w:val="auto"/>
          <w:sz w:val="36"/>
          <w:szCs w:val="44"/>
        </w:rPr>
        <w:tab/>
      </w:r>
      <w:r>
        <w:rPr>
          <w:color w:val="auto"/>
          <w:sz w:val="36"/>
          <w:szCs w:val="44"/>
        </w:rPr>
        <w:fldChar w:fldCharType="begin"/>
      </w:r>
      <w:r>
        <w:rPr>
          <w:color w:val="auto"/>
          <w:sz w:val="36"/>
          <w:szCs w:val="44"/>
        </w:rPr>
        <w:instrText xml:space="preserve"> PAGEREF _Toc1993 \h </w:instrText>
      </w:r>
      <w:r>
        <w:rPr>
          <w:color w:val="auto"/>
          <w:sz w:val="36"/>
          <w:szCs w:val="44"/>
        </w:rPr>
        <w:fldChar w:fldCharType="separate"/>
      </w:r>
      <w:r>
        <w:rPr>
          <w:color w:val="auto"/>
          <w:sz w:val="36"/>
          <w:szCs w:val="44"/>
        </w:rPr>
        <w:t>6</w:t>
      </w:r>
      <w:r>
        <w:rPr>
          <w:color w:val="auto"/>
          <w:sz w:val="36"/>
          <w:szCs w:val="44"/>
        </w:rPr>
        <w:fldChar w:fldCharType="end"/>
      </w:r>
      <w:r>
        <w:rPr>
          <w:rFonts w:hint="default" w:ascii="宋体" w:hAnsi="宋体" w:eastAsia="宋体" w:cs="宋体"/>
          <w:bCs/>
          <w:color w:val="auto"/>
          <w:sz w:val="36"/>
          <w:szCs w:val="48"/>
        </w:rPr>
        <w:fldChar w:fldCharType="end"/>
      </w:r>
    </w:p>
    <w:p w14:paraId="5AC85C7F">
      <w:pPr>
        <w:pStyle w:val="6"/>
        <w:tabs>
          <w:tab w:val="right" w:leader="dot" w:pos="8294"/>
        </w:tabs>
        <w:spacing w:line="720" w:lineRule="auto"/>
        <w:rPr>
          <w:color w:val="auto"/>
          <w:sz w:val="36"/>
          <w:szCs w:val="44"/>
        </w:rPr>
      </w:pPr>
      <w:r>
        <w:rPr>
          <w:rFonts w:hint="default" w:ascii="宋体" w:hAnsi="宋体" w:eastAsia="宋体" w:cs="宋体"/>
          <w:bCs/>
          <w:color w:val="auto"/>
          <w:sz w:val="36"/>
          <w:szCs w:val="48"/>
        </w:rPr>
        <w:fldChar w:fldCharType="begin"/>
      </w:r>
      <w:r>
        <w:rPr>
          <w:rFonts w:hint="default" w:ascii="宋体" w:hAnsi="宋体" w:eastAsia="宋体" w:cs="宋体"/>
          <w:bCs/>
          <w:color w:val="auto"/>
          <w:sz w:val="36"/>
          <w:szCs w:val="48"/>
        </w:rPr>
        <w:instrText xml:space="preserve"> HYPERLINK \l _Toc1480 </w:instrText>
      </w:r>
      <w:r>
        <w:rPr>
          <w:rFonts w:hint="default" w:ascii="宋体" w:hAnsi="宋体" w:eastAsia="宋体" w:cs="宋体"/>
          <w:bCs/>
          <w:color w:val="auto"/>
          <w:sz w:val="36"/>
          <w:szCs w:val="48"/>
        </w:rPr>
        <w:fldChar w:fldCharType="separate"/>
      </w:r>
      <w:r>
        <w:rPr>
          <w:rFonts w:ascii="宋体" w:hAnsi="宋体" w:eastAsia="宋体" w:cs="宋体"/>
          <w:bCs/>
          <w:color w:val="auto"/>
          <w:sz w:val="36"/>
          <w:szCs w:val="52"/>
        </w:rPr>
        <w:t>第</w:t>
      </w:r>
      <w:r>
        <w:rPr>
          <w:rFonts w:hint="eastAsia" w:ascii="宋体" w:hAnsi="宋体" w:eastAsia="宋体" w:cs="宋体"/>
          <w:bCs/>
          <w:color w:val="auto"/>
          <w:sz w:val="36"/>
          <w:szCs w:val="52"/>
          <w:lang w:val="en-US" w:eastAsia="zh-CN"/>
        </w:rPr>
        <w:t>三</w:t>
      </w:r>
      <w:r>
        <w:rPr>
          <w:rFonts w:ascii="宋体" w:hAnsi="宋体" w:eastAsia="宋体" w:cs="宋体"/>
          <w:bCs/>
          <w:color w:val="auto"/>
          <w:sz w:val="36"/>
          <w:szCs w:val="52"/>
        </w:rPr>
        <w:t>部分 工程量清单</w:t>
      </w:r>
      <w:r>
        <w:rPr>
          <w:color w:val="auto"/>
          <w:sz w:val="36"/>
          <w:szCs w:val="44"/>
        </w:rPr>
        <w:tab/>
      </w:r>
      <w:r>
        <w:rPr>
          <w:color w:val="auto"/>
          <w:sz w:val="36"/>
          <w:szCs w:val="44"/>
        </w:rPr>
        <w:fldChar w:fldCharType="begin"/>
      </w:r>
      <w:r>
        <w:rPr>
          <w:color w:val="auto"/>
          <w:sz w:val="36"/>
          <w:szCs w:val="44"/>
        </w:rPr>
        <w:instrText xml:space="preserve"> PAGEREF _Toc1480 \h </w:instrText>
      </w:r>
      <w:r>
        <w:rPr>
          <w:color w:val="auto"/>
          <w:sz w:val="36"/>
          <w:szCs w:val="44"/>
        </w:rPr>
        <w:fldChar w:fldCharType="separate"/>
      </w:r>
      <w:r>
        <w:rPr>
          <w:color w:val="auto"/>
          <w:sz w:val="36"/>
          <w:szCs w:val="44"/>
        </w:rPr>
        <w:t>11</w:t>
      </w:r>
      <w:r>
        <w:rPr>
          <w:color w:val="auto"/>
          <w:sz w:val="36"/>
          <w:szCs w:val="44"/>
        </w:rPr>
        <w:fldChar w:fldCharType="end"/>
      </w:r>
      <w:r>
        <w:rPr>
          <w:rFonts w:hint="default" w:ascii="宋体" w:hAnsi="宋体" w:eastAsia="宋体" w:cs="宋体"/>
          <w:bCs/>
          <w:color w:val="auto"/>
          <w:sz w:val="36"/>
          <w:szCs w:val="48"/>
        </w:rPr>
        <w:fldChar w:fldCharType="end"/>
      </w:r>
    </w:p>
    <w:p w14:paraId="2EDA8E88">
      <w:pPr>
        <w:pStyle w:val="6"/>
        <w:tabs>
          <w:tab w:val="right" w:leader="dot" w:pos="8294"/>
        </w:tabs>
        <w:spacing w:line="720" w:lineRule="auto"/>
        <w:rPr>
          <w:color w:val="auto"/>
          <w:sz w:val="36"/>
          <w:szCs w:val="44"/>
        </w:rPr>
      </w:pPr>
      <w:r>
        <w:rPr>
          <w:rFonts w:hint="default" w:ascii="宋体" w:hAnsi="宋体" w:eastAsia="宋体" w:cs="宋体"/>
          <w:bCs/>
          <w:color w:val="auto"/>
          <w:sz w:val="36"/>
          <w:szCs w:val="48"/>
        </w:rPr>
        <w:fldChar w:fldCharType="begin"/>
      </w:r>
      <w:r>
        <w:rPr>
          <w:rFonts w:hint="default" w:ascii="宋体" w:hAnsi="宋体" w:eastAsia="宋体" w:cs="宋体"/>
          <w:bCs/>
          <w:color w:val="auto"/>
          <w:sz w:val="36"/>
          <w:szCs w:val="48"/>
        </w:rPr>
        <w:instrText xml:space="preserve"> HYPERLINK \l _Toc7187 </w:instrText>
      </w:r>
      <w:r>
        <w:rPr>
          <w:rFonts w:hint="default" w:ascii="宋体" w:hAnsi="宋体" w:eastAsia="宋体" w:cs="宋体"/>
          <w:bCs/>
          <w:color w:val="auto"/>
          <w:sz w:val="36"/>
          <w:szCs w:val="48"/>
        </w:rPr>
        <w:fldChar w:fldCharType="separate"/>
      </w:r>
      <w:r>
        <w:rPr>
          <w:rFonts w:hint="eastAsia" w:ascii="宋体" w:hAnsi="宋体" w:eastAsia="宋体" w:cs="宋体"/>
          <w:bCs/>
          <w:color w:val="auto"/>
          <w:kern w:val="2"/>
          <w:sz w:val="36"/>
          <w:szCs w:val="52"/>
          <w:lang w:val="en-US" w:eastAsia="zh-CN" w:bidi="ar-SA"/>
        </w:rPr>
        <w:t xml:space="preserve">第四部分 </w:t>
      </w:r>
      <w:r>
        <w:rPr>
          <w:rFonts w:hint="eastAsia" w:ascii="宋体" w:hAnsi="宋体" w:eastAsia="宋体" w:cs="宋体"/>
          <w:bCs/>
          <w:color w:val="auto"/>
          <w:kern w:val="2"/>
          <w:sz w:val="36"/>
          <w:szCs w:val="52"/>
          <w:lang w:val="en-US" w:eastAsia="zh-CN"/>
        </w:rPr>
        <w:t>评选办法</w:t>
      </w:r>
      <w:r>
        <w:rPr>
          <w:color w:val="auto"/>
          <w:sz w:val="36"/>
          <w:szCs w:val="44"/>
        </w:rPr>
        <w:tab/>
      </w:r>
      <w:r>
        <w:rPr>
          <w:color w:val="auto"/>
          <w:sz w:val="36"/>
          <w:szCs w:val="44"/>
        </w:rPr>
        <w:fldChar w:fldCharType="begin"/>
      </w:r>
      <w:r>
        <w:rPr>
          <w:color w:val="auto"/>
          <w:sz w:val="36"/>
          <w:szCs w:val="44"/>
        </w:rPr>
        <w:instrText xml:space="preserve"> PAGEREF _Toc7187 \h </w:instrText>
      </w:r>
      <w:r>
        <w:rPr>
          <w:color w:val="auto"/>
          <w:sz w:val="36"/>
          <w:szCs w:val="44"/>
        </w:rPr>
        <w:fldChar w:fldCharType="separate"/>
      </w:r>
      <w:r>
        <w:rPr>
          <w:color w:val="auto"/>
          <w:sz w:val="36"/>
          <w:szCs w:val="44"/>
        </w:rPr>
        <w:t>11</w:t>
      </w:r>
      <w:r>
        <w:rPr>
          <w:color w:val="auto"/>
          <w:sz w:val="36"/>
          <w:szCs w:val="44"/>
        </w:rPr>
        <w:fldChar w:fldCharType="end"/>
      </w:r>
      <w:r>
        <w:rPr>
          <w:rFonts w:hint="default" w:ascii="宋体" w:hAnsi="宋体" w:eastAsia="宋体" w:cs="宋体"/>
          <w:bCs/>
          <w:color w:val="auto"/>
          <w:sz w:val="36"/>
          <w:szCs w:val="48"/>
        </w:rPr>
        <w:fldChar w:fldCharType="end"/>
      </w:r>
    </w:p>
    <w:p w14:paraId="12971BD1">
      <w:pPr>
        <w:pStyle w:val="6"/>
        <w:tabs>
          <w:tab w:val="right" w:leader="dot" w:pos="8294"/>
        </w:tabs>
        <w:spacing w:line="720" w:lineRule="auto"/>
        <w:rPr>
          <w:color w:val="auto"/>
          <w:sz w:val="36"/>
          <w:szCs w:val="44"/>
        </w:rPr>
      </w:pPr>
      <w:r>
        <w:rPr>
          <w:rFonts w:hint="default" w:ascii="宋体" w:hAnsi="宋体" w:eastAsia="宋体" w:cs="宋体"/>
          <w:bCs/>
          <w:color w:val="auto"/>
          <w:sz w:val="36"/>
          <w:szCs w:val="48"/>
        </w:rPr>
        <w:fldChar w:fldCharType="begin"/>
      </w:r>
      <w:r>
        <w:rPr>
          <w:rFonts w:hint="default" w:ascii="宋体" w:hAnsi="宋体" w:eastAsia="宋体" w:cs="宋体"/>
          <w:bCs/>
          <w:color w:val="auto"/>
          <w:sz w:val="36"/>
          <w:szCs w:val="48"/>
        </w:rPr>
        <w:instrText xml:space="preserve"> HYPERLINK \l _Toc15179 </w:instrText>
      </w:r>
      <w:r>
        <w:rPr>
          <w:rFonts w:hint="default" w:ascii="宋体" w:hAnsi="宋体" w:eastAsia="宋体" w:cs="宋体"/>
          <w:bCs/>
          <w:color w:val="auto"/>
          <w:sz w:val="36"/>
          <w:szCs w:val="48"/>
        </w:rPr>
        <w:fldChar w:fldCharType="separate"/>
      </w:r>
      <w:r>
        <w:rPr>
          <w:rFonts w:ascii="宋体" w:hAnsi="宋体" w:eastAsia="宋体" w:cs="宋体"/>
          <w:bCs/>
          <w:color w:val="auto"/>
          <w:sz w:val="36"/>
          <w:szCs w:val="52"/>
        </w:rPr>
        <w:t>第五部分 合同主要条款</w:t>
      </w:r>
      <w:r>
        <w:rPr>
          <w:color w:val="auto"/>
          <w:sz w:val="36"/>
          <w:szCs w:val="44"/>
        </w:rPr>
        <w:tab/>
      </w:r>
      <w:r>
        <w:rPr>
          <w:color w:val="auto"/>
          <w:sz w:val="36"/>
          <w:szCs w:val="44"/>
        </w:rPr>
        <w:fldChar w:fldCharType="begin"/>
      </w:r>
      <w:r>
        <w:rPr>
          <w:color w:val="auto"/>
          <w:sz w:val="36"/>
          <w:szCs w:val="44"/>
        </w:rPr>
        <w:instrText xml:space="preserve"> PAGEREF _Toc15179 \h </w:instrText>
      </w:r>
      <w:r>
        <w:rPr>
          <w:color w:val="auto"/>
          <w:sz w:val="36"/>
          <w:szCs w:val="44"/>
        </w:rPr>
        <w:fldChar w:fldCharType="separate"/>
      </w:r>
      <w:r>
        <w:rPr>
          <w:color w:val="auto"/>
          <w:sz w:val="36"/>
          <w:szCs w:val="44"/>
        </w:rPr>
        <w:t>13</w:t>
      </w:r>
      <w:r>
        <w:rPr>
          <w:color w:val="auto"/>
          <w:sz w:val="36"/>
          <w:szCs w:val="44"/>
        </w:rPr>
        <w:fldChar w:fldCharType="end"/>
      </w:r>
      <w:r>
        <w:rPr>
          <w:rFonts w:hint="default" w:ascii="宋体" w:hAnsi="宋体" w:eastAsia="宋体" w:cs="宋体"/>
          <w:bCs/>
          <w:color w:val="auto"/>
          <w:sz w:val="36"/>
          <w:szCs w:val="48"/>
        </w:rPr>
        <w:fldChar w:fldCharType="end"/>
      </w:r>
    </w:p>
    <w:p w14:paraId="7C6F0628">
      <w:pPr>
        <w:pStyle w:val="19"/>
        <w:framePr w:wrap="auto" w:vAnchor="margin" w:hAnchor="text" w:yAlign="inline"/>
        <w:wordWrap w:val="0"/>
        <w:spacing w:line="720" w:lineRule="auto"/>
        <w:ind w:firstLine="562"/>
        <w:jc w:val="center"/>
        <w:rPr>
          <w:rFonts w:hint="default" w:ascii="宋体" w:hAnsi="宋体" w:eastAsia="宋体" w:cs="宋体"/>
          <w:bCs/>
          <w:color w:val="auto"/>
          <w:sz w:val="36"/>
          <w:szCs w:val="48"/>
        </w:rPr>
      </w:pPr>
      <w:r>
        <w:rPr>
          <w:rFonts w:hint="default" w:ascii="宋体" w:hAnsi="宋体" w:eastAsia="宋体" w:cs="宋体"/>
          <w:bCs/>
          <w:color w:val="auto"/>
          <w:sz w:val="36"/>
          <w:szCs w:val="48"/>
        </w:rPr>
        <w:fldChar w:fldCharType="end"/>
      </w:r>
      <w:bookmarkStart w:id="17" w:name="_GoBack"/>
      <w:bookmarkEnd w:id="17"/>
    </w:p>
    <w:p w14:paraId="4A30A835">
      <w:pPr>
        <w:rPr>
          <w:rFonts w:hint="default" w:ascii="宋体" w:hAnsi="宋体" w:eastAsia="宋体" w:cs="宋体"/>
          <w:bCs/>
          <w:color w:val="auto"/>
          <w:sz w:val="36"/>
          <w:szCs w:val="48"/>
        </w:rPr>
      </w:pPr>
      <w:r>
        <w:rPr>
          <w:rFonts w:hint="default" w:ascii="宋体" w:hAnsi="宋体" w:eastAsia="宋体" w:cs="宋体"/>
          <w:bCs/>
          <w:color w:val="auto"/>
          <w:sz w:val="36"/>
          <w:szCs w:val="48"/>
        </w:rPr>
        <w:br w:type="page"/>
      </w:r>
    </w:p>
    <w:p w14:paraId="35131A42">
      <w:pPr>
        <w:pStyle w:val="19"/>
        <w:framePr w:wrap="auto" w:vAnchor="margin" w:hAnchor="text" w:yAlign="inline"/>
        <w:wordWrap w:val="0"/>
        <w:spacing w:line="440" w:lineRule="exact"/>
        <w:jc w:val="center"/>
        <w:outlineLvl w:val="0"/>
        <w:rPr>
          <w:rFonts w:hint="default" w:ascii="宋体" w:hAnsi="宋体" w:eastAsia="宋体" w:cs="宋体"/>
          <w:b/>
          <w:bCs/>
          <w:color w:val="auto"/>
          <w:sz w:val="32"/>
          <w:szCs w:val="32"/>
          <w:lang w:eastAsia="zh-TW"/>
        </w:rPr>
      </w:pPr>
      <w:bookmarkStart w:id="0" w:name="_Toc15208"/>
      <w:r>
        <w:rPr>
          <w:rFonts w:ascii="宋体" w:hAnsi="宋体" w:eastAsia="宋体" w:cs="宋体"/>
          <w:b/>
          <w:bCs/>
          <w:color w:val="auto"/>
          <w:sz w:val="32"/>
          <w:szCs w:val="32"/>
          <w:lang w:val="zh-TW" w:eastAsia="zh-TW"/>
        </w:rPr>
        <w:t xml:space="preserve">第一部分 </w:t>
      </w:r>
      <w:r>
        <w:rPr>
          <w:rFonts w:hint="eastAsia" w:ascii="宋体" w:hAnsi="宋体" w:eastAsia="宋体" w:cs="宋体"/>
          <w:b/>
          <w:bCs/>
          <w:color w:val="auto"/>
          <w:sz w:val="32"/>
          <w:szCs w:val="32"/>
          <w:lang w:eastAsia="zh-CN"/>
        </w:rPr>
        <w:t>竞价公告</w:t>
      </w:r>
      <w:bookmarkEnd w:id="0"/>
    </w:p>
    <w:p w14:paraId="32720991">
      <w:pPr>
        <w:pStyle w:val="19"/>
        <w:framePr w:wrap="auto" w:vAnchor="margin" w:hAnchor="text" w:yAlign="inline"/>
        <w:wordWrap w:val="0"/>
        <w:spacing w:line="440" w:lineRule="exact"/>
        <w:jc w:val="center"/>
        <w:rPr>
          <w:rFonts w:hint="default" w:ascii="宋体" w:hAnsi="宋体" w:eastAsia="宋体" w:cs="宋体"/>
          <w:b/>
          <w:bCs/>
          <w:color w:val="auto"/>
          <w:sz w:val="32"/>
          <w:szCs w:val="32"/>
        </w:rPr>
      </w:pPr>
    </w:p>
    <w:p w14:paraId="37D1DF8A">
      <w:pPr>
        <w:pStyle w:val="19"/>
        <w:framePr w:wrap="auto" w:vAnchor="margin" w:hAnchor="text" w:yAlign="inline"/>
        <w:tabs>
          <w:tab w:val="left" w:pos="1920"/>
        </w:tabs>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hint="eastAsia" w:ascii="宋体" w:hAnsi="宋体" w:eastAsia="宋体" w:cs="宋体"/>
          <w:color w:val="auto"/>
          <w:sz w:val="28"/>
          <w:szCs w:val="28"/>
          <w:u w:val="single" w:color="auto"/>
          <w:lang w:val="en-US" w:eastAsia="zh-CN"/>
        </w:rPr>
        <w:t>惠州市天逸咨询有限公司</w:t>
      </w:r>
      <w:r>
        <w:rPr>
          <w:rFonts w:hint="eastAsia" w:ascii="宋体" w:hAnsi="宋体" w:eastAsia="宋体" w:cs="宋体"/>
          <w:color w:val="auto"/>
          <w:sz w:val="28"/>
          <w:szCs w:val="28"/>
          <w:lang w:val="en-US" w:eastAsia="zh-CN"/>
        </w:rPr>
        <w:t>（以下简称‘采购代理机构’）受</w:t>
      </w:r>
      <w:r>
        <w:rPr>
          <w:rFonts w:hint="eastAsia" w:ascii="宋体" w:hAnsi="宋体" w:eastAsia="宋体" w:cs="宋体"/>
          <w:color w:val="auto"/>
          <w:sz w:val="28"/>
          <w:szCs w:val="28"/>
          <w:u w:val="single" w:color="auto"/>
          <w:lang w:val="en-US" w:eastAsia="zh-CN"/>
        </w:rPr>
        <w:t>广东路通达建设工程有限公司</w:t>
      </w:r>
      <w:r>
        <w:rPr>
          <w:rFonts w:hint="eastAsia" w:ascii="宋体" w:hAnsi="宋体" w:eastAsia="宋体" w:cs="宋体"/>
          <w:color w:val="auto"/>
          <w:sz w:val="28"/>
          <w:szCs w:val="28"/>
          <w:lang w:val="en-US" w:eastAsia="zh-CN"/>
        </w:rPr>
        <w:t>（以下简称‘采购人’）的委托，诚邀国内合格参选人就</w:t>
      </w:r>
      <w:r>
        <w:rPr>
          <w:rFonts w:hint="eastAsia" w:ascii="宋体" w:hAnsi="宋体" w:eastAsia="宋体" w:cs="宋体"/>
          <w:color w:val="auto"/>
          <w:sz w:val="28"/>
          <w:szCs w:val="28"/>
          <w:u w:val="single" w:color="auto"/>
          <w:lang w:val="en-US" w:eastAsia="zh-CN"/>
        </w:rPr>
        <w:t>广东省惠州市惠东县城三联生活污水处理厂及蕉田至三联片区配套管网建设工程项目施工编号（25-2）土方机械及材料租赁</w:t>
      </w:r>
      <w:r>
        <w:rPr>
          <w:rFonts w:hint="eastAsia" w:ascii="宋体" w:hAnsi="宋体" w:eastAsia="宋体" w:cs="宋体"/>
          <w:color w:val="auto"/>
          <w:sz w:val="28"/>
          <w:szCs w:val="28"/>
          <w:lang w:val="en-US" w:eastAsia="zh-CN"/>
        </w:rPr>
        <w:t>(以下称“项目”或“本项目”)提交竞价申请文件：</w:t>
      </w:r>
    </w:p>
    <w:p w14:paraId="039B3B70">
      <w:pPr>
        <w:pStyle w:val="19"/>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color w:val="auto"/>
          <w:sz w:val="28"/>
          <w:szCs w:val="28"/>
          <w:lang w:eastAsia="zh-CN"/>
        </w:rPr>
      </w:pPr>
      <w:r>
        <w:rPr>
          <w:rFonts w:ascii="宋体" w:hAnsi="宋体" w:eastAsia="宋体" w:cs="宋体"/>
          <w:b/>
          <w:bCs/>
          <w:color w:val="auto"/>
          <w:sz w:val="28"/>
          <w:szCs w:val="28"/>
        </w:rPr>
        <w:t>一、</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方式：</w:t>
      </w:r>
      <w:r>
        <w:rPr>
          <w:rFonts w:ascii="宋体" w:hAnsi="宋体" w:eastAsia="宋体" w:cs="宋体"/>
          <w:color w:val="auto"/>
          <w:sz w:val="28"/>
          <w:szCs w:val="28"/>
          <w:u w:val="single" w:color="auto"/>
        </w:rPr>
        <w:t>公开</w:t>
      </w:r>
      <w:r>
        <w:rPr>
          <w:rFonts w:hint="eastAsia" w:ascii="宋体" w:hAnsi="宋体" w:eastAsia="宋体" w:cs="宋体"/>
          <w:color w:val="auto"/>
          <w:sz w:val="28"/>
          <w:szCs w:val="28"/>
          <w:u w:val="single" w:color="auto"/>
          <w:lang w:eastAsia="zh-CN"/>
        </w:rPr>
        <w:t>竞价</w:t>
      </w:r>
    </w:p>
    <w:p w14:paraId="3FB14E3D">
      <w:pPr>
        <w:pStyle w:val="19"/>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二、项目概况与</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内容</w:t>
      </w:r>
    </w:p>
    <w:p w14:paraId="3321D8C4">
      <w:pPr>
        <w:pStyle w:val="19"/>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1、项目概况：</w:t>
      </w:r>
    </w:p>
    <w:p w14:paraId="4E7B7E37">
      <w:pPr>
        <w:pStyle w:val="19"/>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本项目新建污水处理厂及污水厂配套管网工程、雨水工程，其中拟新建污水处理厂1座，总设计处理规模40000 立方/天，近期设计处理规模 20000 立方/天，远期新增 20000立方/天；拟新建污水厂配套污水管网 DN300～1000 管径约28.9公里，拟改造现状 DN400～500 管径合流管为污水管约 2.5 公里；拟新建雨水主管网DN500～600 管径约0.7公里，拟改造现状DN600～1500 管径合流管为雨水管 6.3 公里。由广东路通达建设工程有限公司负责项目施工任务。</w:t>
      </w:r>
    </w:p>
    <w:p w14:paraId="4B31E9C6">
      <w:pPr>
        <w:pStyle w:val="19"/>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2、</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内容：</w:t>
      </w:r>
    </w:p>
    <w:p w14:paraId="5FF86250">
      <w:pPr>
        <w:pStyle w:val="19"/>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u w:val="single" w:color="auto"/>
        </w:rPr>
      </w:pPr>
      <w:r>
        <w:rPr>
          <w:rFonts w:hint="eastAsia" w:ascii="宋体" w:hAnsi="宋体" w:eastAsia="宋体" w:cs="宋体"/>
          <w:color w:val="auto"/>
          <w:sz w:val="28"/>
          <w:szCs w:val="28"/>
          <w:u w:val="single" w:color="auto"/>
          <w:lang w:val="en-US" w:eastAsia="zh-CN"/>
        </w:rPr>
        <w:t>承包人现场施工所需的土方机械及材料租赁</w:t>
      </w:r>
    </w:p>
    <w:p w14:paraId="738EA1E8">
      <w:pPr>
        <w:pStyle w:val="19"/>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三、</w:t>
      </w:r>
      <w:r>
        <w:rPr>
          <w:rFonts w:hint="eastAsia" w:ascii="宋体" w:hAnsi="宋体" w:eastAsia="宋体" w:cs="宋体"/>
          <w:b/>
          <w:bCs/>
          <w:color w:val="auto"/>
          <w:sz w:val="28"/>
          <w:szCs w:val="28"/>
          <w:lang w:eastAsia="zh-CN"/>
        </w:rPr>
        <w:t>参选人</w:t>
      </w:r>
      <w:r>
        <w:rPr>
          <w:rFonts w:ascii="宋体" w:hAnsi="宋体" w:eastAsia="宋体" w:cs="宋体"/>
          <w:b/>
          <w:bCs/>
          <w:color w:val="auto"/>
          <w:sz w:val="28"/>
          <w:szCs w:val="28"/>
        </w:rPr>
        <w:t>资格要求</w:t>
      </w:r>
    </w:p>
    <w:p w14:paraId="748EDC70">
      <w:pPr>
        <w:pStyle w:val="19"/>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w:t>
      </w:r>
      <w:r>
        <w:rPr>
          <w:rFonts w:hint="eastAsia" w:ascii="宋体" w:hAnsi="宋体" w:eastAsia="宋体" w:cs="宋体"/>
          <w:color w:val="auto"/>
          <w:sz w:val="28"/>
          <w:szCs w:val="28"/>
        </w:rPr>
        <w:t>在中华人民共和国境内注册的法人或其他组织，参选时提交有效的营业执照（或事业法人登记证等相关证明）复印件。分支机构投标的，须提供总公司和分公司营业执照复印件，总公司出具给分支机构的授权书</w:t>
      </w:r>
      <w:r>
        <w:rPr>
          <w:rFonts w:ascii="宋体" w:hAnsi="宋体" w:eastAsia="宋体" w:cs="宋体"/>
          <w:color w:val="auto"/>
          <w:sz w:val="28"/>
          <w:szCs w:val="28"/>
        </w:rPr>
        <w:t>。</w:t>
      </w:r>
    </w:p>
    <w:p w14:paraId="182AADA2">
      <w:pPr>
        <w:pStyle w:val="19"/>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rPr>
      </w:pPr>
      <w:r>
        <w:rPr>
          <w:rFonts w:ascii="宋体" w:hAnsi="宋体" w:eastAsia="宋体" w:cs="宋体"/>
          <w:color w:val="auto"/>
          <w:sz w:val="28"/>
          <w:szCs w:val="28"/>
        </w:rPr>
        <w:t>2、</w:t>
      </w:r>
      <w:r>
        <w:rPr>
          <w:rFonts w:hint="eastAsia" w:ascii="宋体" w:hAnsi="宋体" w:eastAsia="宋体" w:cs="宋体"/>
          <w:color w:val="auto"/>
          <w:sz w:val="28"/>
          <w:szCs w:val="28"/>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596F2AD7">
      <w:pPr>
        <w:pStyle w:val="19"/>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u w:val="single" w:color="auto"/>
        </w:rPr>
      </w:pPr>
      <w:r>
        <w:rPr>
          <w:rFonts w:hint="eastAsia" w:ascii="宋体" w:hAnsi="宋体" w:eastAsia="宋体" w:cs="宋体"/>
          <w:color w:val="auto"/>
          <w:sz w:val="28"/>
          <w:szCs w:val="28"/>
          <w:lang w:val="en-US" w:eastAsia="zh-CN"/>
        </w:rPr>
        <w:t>3、</w:t>
      </w:r>
      <w:r>
        <w:rPr>
          <w:rFonts w:ascii="宋体" w:hAnsi="宋体" w:eastAsia="宋体" w:cs="宋体"/>
          <w:color w:val="auto"/>
          <w:sz w:val="28"/>
          <w:szCs w:val="28"/>
          <w:u w:val="none" w:color="auto"/>
        </w:rPr>
        <w:t>本次</w:t>
      </w:r>
      <w:r>
        <w:rPr>
          <w:rFonts w:hint="eastAsia" w:ascii="宋体" w:hAnsi="宋体" w:eastAsia="宋体" w:cs="宋体"/>
          <w:color w:val="auto"/>
          <w:sz w:val="28"/>
          <w:szCs w:val="28"/>
          <w:u w:val="none" w:color="auto"/>
          <w:lang w:eastAsia="zh-CN"/>
        </w:rPr>
        <w:t>采购</w:t>
      </w:r>
      <w:r>
        <w:rPr>
          <w:rFonts w:ascii="宋体" w:hAnsi="宋体" w:eastAsia="宋体" w:cs="宋体"/>
          <w:color w:val="auto"/>
          <w:sz w:val="28"/>
          <w:szCs w:val="28"/>
          <w:u w:val="single" w:color="auto"/>
        </w:rPr>
        <w:t>不接受</w:t>
      </w:r>
      <w:r>
        <w:rPr>
          <w:rFonts w:ascii="宋体" w:hAnsi="宋体" w:eastAsia="宋体" w:cs="宋体"/>
          <w:color w:val="auto"/>
          <w:sz w:val="28"/>
          <w:szCs w:val="28"/>
          <w:u w:val="none" w:color="auto"/>
        </w:rPr>
        <w:t>联合体响应。</w:t>
      </w:r>
    </w:p>
    <w:p w14:paraId="74061C53">
      <w:pPr>
        <w:pStyle w:val="19"/>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四、</w:t>
      </w:r>
      <w:r>
        <w:rPr>
          <w:rFonts w:hint="eastAsia" w:ascii="宋体" w:hAnsi="宋体" w:eastAsia="宋体" w:cs="宋体"/>
          <w:b/>
          <w:bCs/>
          <w:color w:val="auto"/>
          <w:sz w:val="28"/>
          <w:szCs w:val="28"/>
          <w:lang w:eastAsia="zh-CN"/>
        </w:rPr>
        <w:t>竞价文件</w:t>
      </w:r>
      <w:r>
        <w:rPr>
          <w:rFonts w:ascii="宋体" w:hAnsi="宋体" w:eastAsia="宋体" w:cs="宋体"/>
          <w:b/>
          <w:bCs/>
          <w:color w:val="auto"/>
          <w:sz w:val="28"/>
          <w:szCs w:val="28"/>
        </w:rPr>
        <w:t>的获取</w:t>
      </w:r>
    </w:p>
    <w:p w14:paraId="174571C4">
      <w:pPr>
        <w:pStyle w:val="19"/>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1、本项目</w:t>
      </w:r>
      <w:r>
        <w:rPr>
          <w:rFonts w:hint="eastAsia" w:ascii="宋体" w:hAnsi="宋体" w:eastAsia="宋体" w:cs="宋体"/>
          <w:color w:val="auto"/>
          <w:sz w:val="28"/>
          <w:szCs w:val="28"/>
          <w:lang w:eastAsia="zh-CN"/>
        </w:rPr>
        <w:t>竞价文件</w:t>
      </w:r>
      <w:r>
        <w:rPr>
          <w:rFonts w:ascii="宋体" w:hAnsi="宋体" w:eastAsia="宋体" w:cs="宋体"/>
          <w:color w:val="auto"/>
          <w:sz w:val="28"/>
          <w:szCs w:val="28"/>
        </w:rPr>
        <w:t>、补遗书（补充、澄清、修改文件）以网上下载方式发放。如需图纸请自行联系本项目联系人获取。</w:t>
      </w:r>
    </w:p>
    <w:p w14:paraId="5EC5579D">
      <w:pPr>
        <w:pStyle w:val="19"/>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2、澄清、补充、修改等更正补充公告请自行登录</w:t>
      </w:r>
      <w:r>
        <w:rPr>
          <w:rFonts w:hint="eastAsia" w:ascii="宋体" w:hAnsi="宋体" w:eastAsia="宋体" w:cs="宋体"/>
          <w:color w:val="auto"/>
          <w:sz w:val="28"/>
          <w:szCs w:val="28"/>
          <w:lang w:val="en-US" w:eastAsia="zh-CN"/>
        </w:rPr>
        <w:t>广东路通达建设工程有限</w:t>
      </w:r>
      <w:r>
        <w:rPr>
          <w:rFonts w:ascii="宋体" w:hAnsi="宋体" w:eastAsia="宋体" w:cs="宋体"/>
          <w:color w:val="auto"/>
          <w:sz w:val="28"/>
          <w:szCs w:val="28"/>
        </w:rPr>
        <w:t>公司门户网站进行下载，</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t>人不再另行通知。</w:t>
      </w:r>
    </w:p>
    <w:p w14:paraId="50E17DE6">
      <w:pPr>
        <w:pStyle w:val="19"/>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color w:val="auto"/>
          <w:sz w:val="28"/>
          <w:szCs w:val="28"/>
        </w:rPr>
      </w:pPr>
      <w:r>
        <w:rPr>
          <w:rFonts w:ascii="宋体" w:hAnsi="宋体" w:eastAsia="宋体" w:cs="宋体"/>
          <w:b/>
          <w:bCs/>
          <w:color w:val="auto"/>
          <w:sz w:val="28"/>
          <w:szCs w:val="28"/>
        </w:rPr>
        <w:t>五、响应文件的递交</w:t>
      </w:r>
    </w:p>
    <w:p w14:paraId="34749977">
      <w:pPr>
        <w:pStyle w:val="19"/>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t>人不统一组织工程现场踏勘和响应预备会,</w:t>
      </w:r>
      <w:r>
        <w:rPr>
          <w:rFonts w:hint="eastAsia" w:ascii="宋体" w:hAnsi="宋体" w:eastAsia="宋体" w:cs="宋体"/>
          <w:color w:val="auto"/>
          <w:sz w:val="28"/>
          <w:szCs w:val="28"/>
          <w:lang w:eastAsia="zh-CN"/>
        </w:rPr>
        <w:t>参选人</w:t>
      </w:r>
      <w:r>
        <w:rPr>
          <w:rFonts w:ascii="宋体" w:hAnsi="宋体" w:eastAsia="宋体" w:cs="宋体"/>
          <w:color w:val="auto"/>
          <w:sz w:val="28"/>
          <w:szCs w:val="28"/>
        </w:rPr>
        <w:t>视需要自行前往现场踏勘。</w:t>
      </w:r>
    </w:p>
    <w:p w14:paraId="2743B1C8">
      <w:pPr>
        <w:pStyle w:val="19"/>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2、响应文件递交的截止</w:t>
      </w:r>
      <w:r>
        <w:rPr>
          <w:rFonts w:ascii="宋体" w:hAnsi="宋体" w:eastAsia="宋体" w:cs="宋体"/>
          <w:color w:val="auto"/>
          <w:sz w:val="28"/>
          <w:szCs w:val="28"/>
          <w:u w:val="none" w:color="auto"/>
        </w:rPr>
        <w:t>时间</w:t>
      </w:r>
      <w:r>
        <w:rPr>
          <w:rFonts w:hint="eastAsia" w:ascii="宋体" w:hAnsi="宋体" w:eastAsia="宋体" w:cs="宋体"/>
          <w:color w:val="auto"/>
          <w:sz w:val="28"/>
          <w:szCs w:val="28"/>
          <w:u w:val="none" w:color="auto"/>
          <w:lang w:eastAsia="zh-CN"/>
        </w:rPr>
        <w:t>：</w:t>
      </w:r>
      <w:r>
        <w:rPr>
          <w:rFonts w:hint="eastAsia" w:ascii="宋体" w:hAnsi="宋体" w:eastAsia="宋体" w:cs="宋体"/>
          <w:color w:val="auto"/>
          <w:sz w:val="28"/>
          <w:szCs w:val="28"/>
          <w:u w:val="single" w:color="auto"/>
          <w:lang w:eastAsia="zh-CN"/>
        </w:rPr>
        <w:t>2023年9月25日12:00</w:t>
      </w:r>
      <w:r>
        <w:rPr>
          <w:rFonts w:ascii="宋体" w:hAnsi="宋体" w:eastAsia="宋体" w:cs="宋体"/>
          <w:color w:val="auto"/>
          <w:sz w:val="28"/>
          <w:szCs w:val="28"/>
          <w:u w:val="none" w:color="auto"/>
        </w:rPr>
        <w:t>。</w:t>
      </w:r>
    </w:p>
    <w:p w14:paraId="76B43727">
      <w:pPr>
        <w:pStyle w:val="19"/>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3、响应文件递交方式：纸质响应文件采用现场递交或邮寄方式，递交（邮寄）地址：</w:t>
      </w:r>
      <w:r>
        <w:rPr>
          <w:rFonts w:hint="eastAsia" w:ascii="宋体" w:hAnsi="宋体" w:eastAsia="宋体" w:cs="宋体"/>
          <w:b w:val="0"/>
          <w:bCs w:val="0"/>
          <w:i w:val="0"/>
          <w:iCs w:val="0"/>
          <w:caps w:val="0"/>
          <w:color w:val="auto"/>
          <w:spacing w:val="0"/>
          <w:sz w:val="28"/>
          <w:szCs w:val="28"/>
          <w:u w:val="single"/>
          <w:shd w:val="clear" w:fill="FFFFFF"/>
          <w:lang w:val="en-US" w:eastAsia="zh-CN"/>
        </w:rPr>
        <w:t>惠州市惠东县惠东大道1212号4楼</w:t>
      </w:r>
      <w:r>
        <w:rPr>
          <w:rFonts w:ascii="宋体" w:hAnsi="宋体" w:eastAsia="宋体" w:cs="宋体"/>
          <w:color w:val="auto"/>
          <w:sz w:val="28"/>
          <w:szCs w:val="28"/>
        </w:rPr>
        <w:t>。</w:t>
      </w:r>
    </w:p>
    <w:p w14:paraId="74463D5B">
      <w:pPr>
        <w:pStyle w:val="19"/>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hint="default" w:ascii="宋体" w:hAnsi="宋体" w:eastAsia="宋体" w:cs="宋体"/>
          <w:color w:val="auto"/>
          <w:sz w:val="28"/>
          <w:szCs w:val="28"/>
        </w:rPr>
        <w:t>4</w:t>
      </w:r>
      <w:r>
        <w:rPr>
          <w:rFonts w:ascii="宋体" w:hAnsi="宋体" w:eastAsia="宋体" w:cs="宋体"/>
          <w:color w:val="auto"/>
          <w:sz w:val="28"/>
          <w:szCs w:val="28"/>
        </w:rPr>
        <w:t>、逾期送达或未密封将予以拒收。</w:t>
      </w:r>
    </w:p>
    <w:p w14:paraId="300377C8">
      <w:pPr>
        <w:pStyle w:val="19"/>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color w:val="auto"/>
          <w:sz w:val="28"/>
          <w:szCs w:val="28"/>
        </w:rPr>
      </w:pPr>
      <w:r>
        <w:rPr>
          <w:rFonts w:ascii="宋体" w:hAnsi="宋体" w:eastAsia="宋体" w:cs="宋体"/>
          <w:b/>
          <w:bCs/>
          <w:color w:val="auto"/>
          <w:sz w:val="28"/>
          <w:szCs w:val="28"/>
        </w:rPr>
        <w:t>六、发布公告的媒介</w:t>
      </w:r>
    </w:p>
    <w:p w14:paraId="2F5AB92C">
      <w:pPr>
        <w:pStyle w:val="19"/>
        <w:framePr w:wrap="auto" w:vAnchor="margin" w:hAnchor="text" w:yAlign="inline"/>
        <w:wordWrap w:val="0"/>
        <w:adjustRightInd w:val="0"/>
        <w:snapToGrid w:val="0"/>
        <w:spacing w:line="360" w:lineRule="auto"/>
        <w:ind w:firstLine="560" w:firstLineChars="200"/>
        <w:jc w:val="left"/>
        <w:rPr>
          <w:rFonts w:ascii="宋体" w:hAnsi="宋体" w:eastAsia="宋体" w:cs="宋体"/>
          <w:b/>
          <w:bCs/>
          <w:color w:val="auto"/>
          <w:sz w:val="28"/>
          <w:szCs w:val="28"/>
        </w:rPr>
      </w:pPr>
      <w:r>
        <w:rPr>
          <w:rFonts w:hint="eastAsia" w:ascii="宋体" w:hAnsi="宋体" w:eastAsia="宋体" w:cs="宋体"/>
          <w:color w:val="auto"/>
          <w:sz w:val="28"/>
          <w:szCs w:val="28"/>
          <w:lang w:eastAsia="zh-CN"/>
        </w:rPr>
        <w:t>本次竞价公告</w:t>
      </w:r>
      <w:r>
        <w:rPr>
          <w:rFonts w:hint="eastAsia" w:ascii="宋体" w:hAnsi="宋体" w:eastAsia="宋体" w:cs="宋体"/>
          <w:color w:val="auto"/>
          <w:sz w:val="28"/>
          <w:szCs w:val="28"/>
          <w:u w:val="none" w:color="auto"/>
          <w:lang w:eastAsia="zh-CN"/>
        </w:rPr>
        <w:t>在广东路通达建设工程有限公司官网（http://www.gdltdjs.com）上发布。</w:t>
      </w:r>
    </w:p>
    <w:p w14:paraId="0168925E">
      <w:pPr>
        <w:pStyle w:val="19"/>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七、联系方式：</w:t>
      </w:r>
    </w:p>
    <w:p w14:paraId="7EC9E60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1.</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人信息</w:t>
      </w:r>
    </w:p>
    <w:p w14:paraId="34E914E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名称：广东路通达建设工程有限公司</w:t>
      </w:r>
    </w:p>
    <w:p w14:paraId="5722A9C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地址：惠州市惠东县惠东大道1212号4楼</w:t>
      </w:r>
    </w:p>
    <w:p w14:paraId="460D0F8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 xml:space="preserve">联系方式：0752-8115336 </w:t>
      </w:r>
    </w:p>
    <w:p w14:paraId="2360415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2.采购代理机构信息</w:t>
      </w:r>
    </w:p>
    <w:p w14:paraId="4F8D60C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名称：</w:t>
      </w:r>
      <w:r>
        <w:rPr>
          <w:rFonts w:hint="eastAsia" w:ascii="宋体" w:hAnsi="宋体" w:cs="宋体"/>
          <w:b w:val="0"/>
          <w:bCs w:val="0"/>
          <w:i w:val="0"/>
          <w:iCs w:val="0"/>
          <w:caps w:val="0"/>
          <w:color w:val="auto"/>
          <w:spacing w:val="0"/>
          <w:kern w:val="0"/>
          <w:sz w:val="28"/>
          <w:szCs w:val="28"/>
          <w:u w:val="none"/>
          <w:shd w:val="clear" w:fill="FFFFFF"/>
          <w:lang w:val="en-US" w:eastAsia="zh-CN" w:bidi="ar"/>
        </w:rPr>
        <w:t>惠州市天逸咨询有限公司</w:t>
      </w:r>
    </w:p>
    <w:p w14:paraId="7474E31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地址：</w:t>
      </w:r>
      <w:r>
        <w:rPr>
          <w:rFonts w:hint="eastAsia" w:ascii="宋体" w:hAnsi="宋体" w:cs="宋体"/>
          <w:b w:val="0"/>
          <w:bCs w:val="0"/>
          <w:i w:val="0"/>
          <w:iCs w:val="0"/>
          <w:caps w:val="0"/>
          <w:color w:val="auto"/>
          <w:spacing w:val="0"/>
          <w:kern w:val="0"/>
          <w:sz w:val="28"/>
          <w:szCs w:val="28"/>
          <w:u w:val="none"/>
          <w:shd w:val="clear" w:fill="FFFFFF"/>
          <w:lang w:val="en-US" w:eastAsia="zh-CN" w:bidi="ar"/>
        </w:rPr>
        <w:t>惠州市惠城区中海水岸城1期7-10商铺</w:t>
      </w:r>
    </w:p>
    <w:p w14:paraId="55546B0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联系方式：</w:t>
      </w:r>
      <w:r>
        <w:rPr>
          <w:rFonts w:hint="eastAsia" w:ascii="宋体" w:hAnsi="宋体" w:cs="宋体"/>
          <w:b w:val="0"/>
          <w:bCs w:val="0"/>
          <w:i w:val="0"/>
          <w:iCs w:val="0"/>
          <w:caps w:val="0"/>
          <w:color w:val="auto"/>
          <w:spacing w:val="0"/>
          <w:kern w:val="0"/>
          <w:sz w:val="28"/>
          <w:szCs w:val="28"/>
          <w:u w:val="none"/>
          <w:shd w:val="clear" w:fill="FFFFFF"/>
          <w:lang w:val="en-US" w:eastAsia="zh-CN" w:bidi="ar"/>
        </w:rPr>
        <w:t>0752-3798001</w:t>
      </w:r>
    </w:p>
    <w:p w14:paraId="3D78B15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p>
    <w:p w14:paraId="5AAB551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广东路通达建设工程有限公司</w:t>
      </w:r>
    </w:p>
    <w:p w14:paraId="794CB86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w:t>
      </w:r>
      <w:r>
        <w:rPr>
          <w:rFonts w:hint="eastAsia" w:ascii="宋体" w:hAnsi="宋体" w:cs="宋体"/>
          <w:b w:val="0"/>
          <w:bCs w:val="0"/>
          <w:i w:val="0"/>
          <w:iCs w:val="0"/>
          <w:caps w:val="0"/>
          <w:color w:val="auto"/>
          <w:spacing w:val="0"/>
          <w:kern w:val="0"/>
          <w:sz w:val="28"/>
          <w:szCs w:val="28"/>
          <w:u w:val="none"/>
          <w:shd w:val="clear" w:fill="FFFFFF"/>
          <w:lang w:val="en-US" w:eastAsia="zh-CN" w:bidi="ar"/>
        </w:rPr>
        <w:t>惠州市天逸咨询有限公司</w:t>
      </w:r>
    </w:p>
    <w:p w14:paraId="2293655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公告发布时间：</w:t>
      </w:r>
      <w:r>
        <w:rPr>
          <w:rFonts w:hint="eastAsia" w:ascii="宋体" w:hAnsi="宋体" w:cs="宋体"/>
          <w:b w:val="0"/>
          <w:bCs w:val="0"/>
          <w:i w:val="0"/>
          <w:iCs w:val="0"/>
          <w:caps w:val="0"/>
          <w:color w:val="auto"/>
          <w:spacing w:val="0"/>
          <w:kern w:val="0"/>
          <w:sz w:val="28"/>
          <w:szCs w:val="28"/>
          <w:u w:val="none"/>
          <w:shd w:val="clear" w:fill="FFFFFF"/>
          <w:lang w:val="en-US" w:eastAsia="zh-CN" w:bidi="ar"/>
        </w:rPr>
        <w:t>2023年9月21日</w:t>
      </w:r>
    </w:p>
    <w:p w14:paraId="5AC8E473">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555"/>
        <w:jc w:val="left"/>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sectPr>
          <w:footerReference r:id="rId5"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p>
    <w:p w14:paraId="51BD6CAC">
      <w:pPr>
        <w:keepLines/>
        <w:wordWrap w:val="0"/>
        <w:snapToGrid w:val="0"/>
        <w:jc w:val="center"/>
        <w:outlineLvl w:val="0"/>
        <w:rPr>
          <w:rFonts w:ascii="宋体" w:hAnsi="宋体" w:eastAsia="宋体" w:cs="宋体"/>
          <w:b/>
          <w:color w:val="auto"/>
          <w:sz w:val="28"/>
          <w:szCs w:val="28"/>
          <w:lang w:eastAsia="zh-CN"/>
        </w:rPr>
      </w:pPr>
      <w:bookmarkStart w:id="1" w:name="_Toc152042304"/>
      <w:bookmarkStart w:id="2" w:name="_Toc144974496"/>
      <w:bookmarkStart w:id="3" w:name="_Toc500491903"/>
      <w:bookmarkStart w:id="4" w:name="_Toc16780"/>
      <w:bookmarkStart w:id="5" w:name="_Toc152045528"/>
      <w:bookmarkStart w:id="6" w:name="_Toc21380"/>
      <w:bookmarkStart w:id="7" w:name="_Toc31806"/>
      <w:bookmarkStart w:id="8" w:name="_Toc392345907"/>
      <w:bookmarkStart w:id="9" w:name="_Toc7164"/>
      <w:bookmarkStart w:id="10" w:name="_Toc16761"/>
      <w:bookmarkStart w:id="11" w:name="_Toc229646710"/>
      <w:bookmarkStart w:id="12" w:name="_Toc1993"/>
      <w:r>
        <w:rPr>
          <w:rFonts w:ascii="宋体" w:hAnsi="宋体" w:eastAsia="宋体" w:cs="宋体"/>
          <w:b/>
          <w:bCs/>
          <w:color w:val="auto"/>
          <w:sz w:val="32"/>
          <w:szCs w:val="32"/>
          <w:lang w:val="zh-TW" w:eastAsia="zh-TW"/>
        </w:rPr>
        <w:t>第</w:t>
      </w:r>
      <w:r>
        <w:rPr>
          <w:rFonts w:hint="eastAsia" w:ascii="宋体" w:hAnsi="宋体" w:eastAsia="宋体" w:cs="宋体"/>
          <w:b/>
          <w:bCs/>
          <w:color w:val="auto"/>
          <w:sz w:val="32"/>
          <w:szCs w:val="32"/>
          <w:lang w:eastAsia="zh-CN"/>
        </w:rPr>
        <w:t>二</w:t>
      </w:r>
      <w:r>
        <w:rPr>
          <w:rFonts w:ascii="宋体" w:hAnsi="宋体" w:eastAsia="宋体" w:cs="宋体"/>
          <w:b/>
          <w:bCs/>
          <w:color w:val="auto"/>
          <w:sz w:val="32"/>
          <w:szCs w:val="32"/>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sz w:val="32"/>
          <w:szCs w:val="32"/>
          <w:lang w:eastAsia="zh-CN"/>
        </w:rPr>
        <w:t>参选人须知</w:t>
      </w:r>
      <w:bookmarkEnd w:id="12"/>
    </w:p>
    <w:tbl>
      <w:tblPr>
        <w:tblStyle w:val="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658"/>
        <w:gridCol w:w="6126"/>
      </w:tblGrid>
      <w:tr w14:paraId="2E598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1FA1D3BE">
            <w:pPr>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序号</w:t>
            </w:r>
          </w:p>
        </w:tc>
        <w:tc>
          <w:tcPr>
            <w:tcW w:w="1658" w:type="dxa"/>
            <w:vAlign w:val="center"/>
          </w:tcPr>
          <w:p w14:paraId="53AD71B5">
            <w:pPr>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条款名称</w:t>
            </w:r>
          </w:p>
        </w:tc>
        <w:tc>
          <w:tcPr>
            <w:tcW w:w="6126" w:type="dxa"/>
            <w:vAlign w:val="center"/>
          </w:tcPr>
          <w:p w14:paraId="76A12A29">
            <w:pPr>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编列内容</w:t>
            </w:r>
          </w:p>
        </w:tc>
      </w:tr>
      <w:tr w14:paraId="5A57D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738" w:type="dxa"/>
            <w:vAlign w:val="center"/>
          </w:tcPr>
          <w:p w14:paraId="4916C5DB">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1</w:t>
            </w:r>
          </w:p>
        </w:tc>
        <w:tc>
          <w:tcPr>
            <w:tcW w:w="1658" w:type="dxa"/>
            <w:vAlign w:val="center"/>
          </w:tcPr>
          <w:p w14:paraId="3462476B">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人</w:t>
            </w:r>
          </w:p>
        </w:tc>
        <w:tc>
          <w:tcPr>
            <w:tcW w:w="6126" w:type="dxa"/>
            <w:vAlign w:val="center"/>
          </w:tcPr>
          <w:p w14:paraId="767781CD">
            <w:pPr>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w:t>
            </w:r>
            <w:r>
              <w:rPr>
                <w:rFonts w:hint="eastAsia" w:ascii="宋体" w:hAnsi="宋体" w:eastAsia="宋体" w:cs="宋体"/>
                <w:color w:val="auto"/>
                <w:sz w:val="21"/>
                <w:lang w:val="en-US" w:eastAsia="zh-CN"/>
              </w:rPr>
              <w:t>广东路通达建设工程有限公司</w:t>
            </w:r>
          </w:p>
          <w:p w14:paraId="1CA2DB38">
            <w:pPr>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地址：</w:t>
            </w:r>
            <w:r>
              <w:rPr>
                <w:rFonts w:hint="eastAsia" w:ascii="宋体" w:hAnsi="宋体" w:eastAsia="宋体" w:cs="宋体"/>
                <w:color w:val="auto"/>
                <w:sz w:val="21"/>
                <w:lang w:val="en-US" w:eastAsia="zh-CN"/>
              </w:rPr>
              <w:t>惠州市惠东县惠东大道1212号4楼</w:t>
            </w:r>
          </w:p>
          <w:p w14:paraId="6B38062A">
            <w:pPr>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电话：</w:t>
            </w:r>
            <w:r>
              <w:rPr>
                <w:rFonts w:hint="eastAsia" w:ascii="宋体" w:hAnsi="宋体" w:eastAsia="宋体" w:cs="宋体"/>
                <w:color w:val="auto"/>
                <w:sz w:val="21"/>
                <w:lang w:val="en-US" w:eastAsia="zh-CN"/>
              </w:rPr>
              <w:t>0752-8115336</w:t>
            </w:r>
          </w:p>
        </w:tc>
      </w:tr>
      <w:tr w14:paraId="5A322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exact"/>
          <w:jc w:val="center"/>
        </w:trPr>
        <w:tc>
          <w:tcPr>
            <w:tcW w:w="738" w:type="dxa"/>
            <w:vAlign w:val="center"/>
          </w:tcPr>
          <w:p w14:paraId="69EEE732">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2</w:t>
            </w:r>
          </w:p>
        </w:tc>
        <w:tc>
          <w:tcPr>
            <w:tcW w:w="1658" w:type="dxa"/>
            <w:vAlign w:val="center"/>
          </w:tcPr>
          <w:p w14:paraId="7BD2EE8A">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项目名称</w:t>
            </w:r>
          </w:p>
        </w:tc>
        <w:tc>
          <w:tcPr>
            <w:tcW w:w="6126" w:type="dxa"/>
            <w:vAlign w:val="center"/>
          </w:tcPr>
          <w:p w14:paraId="468D89DF">
            <w:pPr>
              <w:wordWrap w:val="0"/>
              <w:adjustRightInd w:val="0"/>
              <w:snapToGrid w:val="0"/>
              <w:rPr>
                <w:rFonts w:hint="default" w:ascii="宋体" w:hAnsi="宋体" w:eastAsia="宋体" w:cs="宋体"/>
                <w:color w:val="auto"/>
                <w:sz w:val="21"/>
                <w:szCs w:val="21"/>
                <w:u w:val="single"/>
                <w:lang w:val="en-US" w:eastAsia="zh-CN"/>
              </w:rPr>
            </w:pPr>
            <w:r>
              <w:rPr>
                <w:rFonts w:hint="eastAsia" w:ascii="宋体" w:hAnsi="宋体" w:cs="宋体"/>
                <w:b w:val="0"/>
                <w:bCs w:val="0"/>
                <w:i w:val="0"/>
                <w:iCs w:val="0"/>
                <w:caps w:val="0"/>
                <w:color w:val="auto"/>
                <w:spacing w:val="0"/>
                <w:kern w:val="0"/>
                <w:sz w:val="21"/>
                <w:szCs w:val="21"/>
                <w:u w:val="single"/>
                <w:shd w:val="clear" w:fill="FFFFFF"/>
                <w:lang w:val="en-US" w:eastAsia="zh-CN" w:bidi="ar"/>
              </w:rPr>
              <w:t>广东省惠州市惠东县城三联生活污水处理厂及蕉田至三联片区配套管网建设工程项目施工编号（25-2）土方机械及材料租赁</w:t>
            </w:r>
          </w:p>
        </w:tc>
      </w:tr>
      <w:tr w14:paraId="072BF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exact"/>
          <w:jc w:val="center"/>
        </w:trPr>
        <w:tc>
          <w:tcPr>
            <w:tcW w:w="738" w:type="dxa"/>
            <w:vAlign w:val="center"/>
          </w:tcPr>
          <w:p w14:paraId="4CD7A21B">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3</w:t>
            </w:r>
          </w:p>
        </w:tc>
        <w:tc>
          <w:tcPr>
            <w:tcW w:w="1658" w:type="dxa"/>
            <w:vAlign w:val="center"/>
          </w:tcPr>
          <w:p w14:paraId="47B91302">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内容</w:t>
            </w:r>
          </w:p>
        </w:tc>
        <w:tc>
          <w:tcPr>
            <w:tcW w:w="6126" w:type="dxa"/>
            <w:vAlign w:val="center"/>
          </w:tcPr>
          <w:p w14:paraId="12029455">
            <w:pPr>
              <w:wordWrap w:val="0"/>
              <w:adjustRightInd w:val="0"/>
              <w:snapToGrid w:val="0"/>
              <w:rPr>
                <w:rFonts w:hint="default" w:ascii="宋体" w:hAnsi="宋体" w:eastAsia="宋体" w:cs="宋体"/>
                <w:color w:val="auto"/>
                <w:sz w:val="21"/>
                <w:u w:val="single"/>
                <w:lang w:val="en-US" w:eastAsia="zh-CN"/>
              </w:rPr>
            </w:pPr>
            <w:r>
              <w:rPr>
                <w:rFonts w:hint="eastAsia" w:ascii="宋体" w:hAnsi="宋体" w:cs="宋体"/>
                <w:color w:val="auto"/>
                <w:sz w:val="21"/>
                <w:u w:val="single"/>
                <w:lang w:val="en-US" w:eastAsia="zh-CN"/>
              </w:rPr>
              <w:t>承包人现场施工所需的土方机械及材料租赁</w:t>
            </w:r>
          </w:p>
        </w:tc>
      </w:tr>
      <w:tr w14:paraId="51181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5184E4D5">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4</w:t>
            </w:r>
          </w:p>
        </w:tc>
        <w:tc>
          <w:tcPr>
            <w:tcW w:w="1658" w:type="dxa"/>
            <w:vAlign w:val="center"/>
          </w:tcPr>
          <w:p w14:paraId="3B39448C">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工</w:t>
            </w:r>
            <w:r>
              <w:rPr>
                <w:rFonts w:hint="eastAsia" w:ascii="宋体" w:hAnsi="宋体" w:eastAsia="宋体" w:cs="宋体"/>
                <w:color w:val="auto"/>
                <w:sz w:val="21"/>
              </w:rPr>
              <w:t>期</w:t>
            </w:r>
          </w:p>
        </w:tc>
        <w:tc>
          <w:tcPr>
            <w:tcW w:w="6126" w:type="dxa"/>
            <w:vAlign w:val="center"/>
          </w:tcPr>
          <w:p w14:paraId="27F4B96F">
            <w:pPr>
              <w:wordWrap w:val="0"/>
              <w:adjustRightInd w:val="0"/>
              <w:snapToGrid w:val="0"/>
              <w:rPr>
                <w:rFonts w:hint="eastAsia" w:ascii="宋体" w:hAnsi="宋体" w:eastAsia="宋体" w:cs="宋体"/>
                <w:color w:val="auto"/>
                <w:sz w:val="21"/>
                <w:lang w:eastAsia="zh-CN"/>
              </w:rPr>
            </w:pPr>
            <w:r>
              <w:rPr>
                <w:rFonts w:hint="eastAsia" w:ascii="宋体" w:hAnsi="宋体" w:cs="宋体"/>
                <w:color w:val="auto"/>
                <w:sz w:val="21"/>
                <w:u w:val="single"/>
                <w:lang w:eastAsia="zh-CN"/>
              </w:rPr>
              <w:t>2023</w:t>
            </w:r>
            <w:r>
              <w:rPr>
                <w:rFonts w:hint="eastAsia" w:ascii="宋体" w:hAnsi="宋体" w:eastAsia="宋体" w:cs="宋体"/>
                <w:color w:val="auto"/>
                <w:sz w:val="21"/>
                <w:u w:val="single"/>
                <w:lang w:eastAsia="zh-CN"/>
              </w:rPr>
              <w:t>年</w:t>
            </w:r>
            <w:r>
              <w:rPr>
                <w:rFonts w:hint="eastAsia" w:ascii="宋体" w:hAnsi="宋体" w:cs="宋体"/>
                <w:color w:val="auto"/>
                <w:sz w:val="21"/>
                <w:u w:val="single"/>
                <w:lang w:val="en-US" w:eastAsia="zh-CN"/>
              </w:rPr>
              <w:t>9</w:t>
            </w:r>
            <w:r>
              <w:rPr>
                <w:rFonts w:hint="eastAsia" w:ascii="宋体" w:hAnsi="宋体" w:eastAsia="宋体" w:cs="宋体"/>
                <w:color w:val="auto"/>
                <w:sz w:val="21"/>
                <w:u w:val="single"/>
                <w:lang w:eastAsia="zh-CN"/>
              </w:rPr>
              <w:t>月-工程结束</w:t>
            </w:r>
          </w:p>
        </w:tc>
      </w:tr>
      <w:tr w14:paraId="1F572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exact"/>
          <w:jc w:val="center"/>
        </w:trPr>
        <w:tc>
          <w:tcPr>
            <w:tcW w:w="738" w:type="dxa"/>
            <w:vAlign w:val="center"/>
          </w:tcPr>
          <w:p w14:paraId="400D93AA">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5</w:t>
            </w:r>
          </w:p>
        </w:tc>
        <w:tc>
          <w:tcPr>
            <w:tcW w:w="1658" w:type="dxa"/>
            <w:vAlign w:val="center"/>
          </w:tcPr>
          <w:p w14:paraId="45003AAC">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质量要求</w:t>
            </w:r>
          </w:p>
        </w:tc>
        <w:tc>
          <w:tcPr>
            <w:tcW w:w="6126" w:type="dxa"/>
            <w:vAlign w:val="center"/>
          </w:tcPr>
          <w:p w14:paraId="4F7ED1EB">
            <w:pPr>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u w:val="none"/>
                <w:lang w:eastAsia="zh-CN"/>
              </w:rPr>
              <w:t xml:space="preserve"> 合格 </w:t>
            </w:r>
          </w:p>
        </w:tc>
      </w:tr>
      <w:tr w14:paraId="5BAB0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jc w:val="center"/>
        </w:trPr>
        <w:tc>
          <w:tcPr>
            <w:tcW w:w="738" w:type="dxa"/>
            <w:vAlign w:val="center"/>
          </w:tcPr>
          <w:p w14:paraId="3285351C">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6</w:t>
            </w:r>
          </w:p>
        </w:tc>
        <w:tc>
          <w:tcPr>
            <w:tcW w:w="1658" w:type="dxa"/>
            <w:vAlign w:val="center"/>
          </w:tcPr>
          <w:p w14:paraId="6151E9C4">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参选人</w:t>
            </w:r>
          </w:p>
          <w:p w14:paraId="111411FA">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资格条件</w:t>
            </w:r>
          </w:p>
        </w:tc>
        <w:tc>
          <w:tcPr>
            <w:tcW w:w="6126" w:type="dxa"/>
            <w:vAlign w:val="center"/>
          </w:tcPr>
          <w:p w14:paraId="6D4FBC5A">
            <w:pPr>
              <w:wordWrap w:val="0"/>
              <w:adjustRightInd w:val="0"/>
              <w:snapToGrid w:val="0"/>
              <w:ind w:firstLine="420" w:firstLineChars="20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w:t>
            </w:r>
            <w:r>
              <w:rPr>
                <w:rFonts w:hint="eastAsia" w:ascii="宋体" w:hAnsi="宋体" w:eastAsia="宋体" w:cs="宋体"/>
                <w:color w:val="auto"/>
                <w:sz w:val="21"/>
                <w:lang w:eastAsia="zh-CN"/>
              </w:rPr>
              <w:t>在中华人民共和国境内注册的法人或其他组织，</w:t>
            </w:r>
            <w:r>
              <w:rPr>
                <w:rFonts w:hint="eastAsia" w:ascii="宋体" w:hAnsi="宋体" w:eastAsia="宋体" w:cs="宋体"/>
                <w:color w:val="auto"/>
                <w:sz w:val="21"/>
                <w:lang w:val="en-US" w:eastAsia="zh-CN"/>
              </w:rPr>
              <w:t>参选</w:t>
            </w:r>
            <w:r>
              <w:rPr>
                <w:rFonts w:hint="eastAsia" w:ascii="宋体" w:hAnsi="宋体" w:eastAsia="宋体" w:cs="宋体"/>
                <w:color w:val="auto"/>
                <w:sz w:val="21"/>
                <w:lang w:eastAsia="zh-CN"/>
              </w:rPr>
              <w:t>时提交有效的营业执照（或事业法人登记证等相关证明）复印件。分支机构投标的，须提供总公司和分公司营业执照复印件，总公司出具给分支机构的授权书</w:t>
            </w:r>
            <w:r>
              <w:rPr>
                <w:rFonts w:hint="eastAsia" w:ascii="宋体" w:hAnsi="宋体" w:eastAsia="宋体" w:cs="宋体"/>
                <w:color w:val="auto"/>
                <w:sz w:val="21"/>
                <w:lang w:val="en-US" w:eastAsia="zh-CN"/>
              </w:rPr>
              <w:t>。</w:t>
            </w:r>
          </w:p>
          <w:p w14:paraId="647BA223">
            <w:pPr>
              <w:wordWrap w:val="0"/>
              <w:adjustRightInd w:val="0"/>
              <w:snapToGrid w:val="0"/>
              <w:ind w:firstLine="420" w:firstLineChars="20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2、</w:t>
            </w:r>
            <w:r>
              <w:rPr>
                <w:rFonts w:hint="eastAsia" w:ascii="宋体" w:hAnsi="宋体" w:eastAsia="宋体" w:cs="宋体"/>
                <w:color w:val="auto"/>
                <w:sz w:val="21"/>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r>
              <w:rPr>
                <w:rFonts w:hint="eastAsia" w:ascii="宋体" w:hAnsi="宋体" w:eastAsia="宋体" w:cs="宋体"/>
                <w:color w:val="auto"/>
                <w:sz w:val="21"/>
                <w:lang w:val="en-US" w:eastAsia="zh-CN"/>
              </w:rPr>
              <w:t>。</w:t>
            </w:r>
          </w:p>
          <w:p w14:paraId="3F4DA517">
            <w:pPr>
              <w:wordWrap w:val="0"/>
              <w:adjustRightInd w:val="0"/>
              <w:snapToGrid w:val="0"/>
              <w:ind w:firstLine="420" w:firstLineChars="200"/>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3、</w:t>
            </w:r>
            <w:r>
              <w:rPr>
                <w:rFonts w:hint="eastAsia" w:ascii="宋体" w:hAnsi="宋体" w:eastAsia="宋体" w:cs="宋体"/>
                <w:color w:val="auto"/>
                <w:sz w:val="21"/>
                <w:lang w:eastAsia="zh-CN"/>
              </w:rPr>
              <w:t>本次采购不接受联合体响应</w:t>
            </w:r>
          </w:p>
        </w:tc>
      </w:tr>
      <w:tr w14:paraId="2ACBE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exact"/>
          <w:jc w:val="center"/>
        </w:trPr>
        <w:tc>
          <w:tcPr>
            <w:tcW w:w="738" w:type="dxa"/>
            <w:vAlign w:val="center"/>
          </w:tcPr>
          <w:p w14:paraId="4E59E177">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7</w:t>
            </w:r>
          </w:p>
        </w:tc>
        <w:tc>
          <w:tcPr>
            <w:tcW w:w="1658" w:type="dxa"/>
            <w:vAlign w:val="center"/>
          </w:tcPr>
          <w:p w14:paraId="4379B774">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是否接受</w:t>
            </w:r>
          </w:p>
          <w:p w14:paraId="2EE3A4B0">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联合体</w:t>
            </w:r>
          </w:p>
        </w:tc>
        <w:tc>
          <w:tcPr>
            <w:tcW w:w="6126" w:type="dxa"/>
            <w:vAlign w:val="center"/>
          </w:tcPr>
          <w:p w14:paraId="25B56AD3">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□接受，但联合体所有成员不得超过2家。</w:t>
            </w:r>
          </w:p>
          <w:p w14:paraId="23BB881D">
            <w:pPr>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lang w:eastAsia="zh-CN"/>
              </w:rPr>
              <w:t>☑</w:t>
            </w:r>
            <w:r>
              <w:rPr>
                <w:rFonts w:hint="eastAsia" w:ascii="宋体" w:hAnsi="宋体" w:eastAsia="宋体" w:cs="宋体"/>
                <w:color w:val="auto"/>
                <w:sz w:val="21"/>
              </w:rPr>
              <w:t>不接受</w:t>
            </w:r>
          </w:p>
        </w:tc>
      </w:tr>
      <w:tr w14:paraId="4280F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3" w:hRule="atLeast"/>
          <w:jc w:val="center"/>
        </w:trPr>
        <w:tc>
          <w:tcPr>
            <w:tcW w:w="738" w:type="dxa"/>
            <w:vAlign w:val="center"/>
          </w:tcPr>
          <w:p w14:paraId="3EAF2BF1">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8</w:t>
            </w:r>
          </w:p>
        </w:tc>
        <w:tc>
          <w:tcPr>
            <w:tcW w:w="1658" w:type="dxa"/>
            <w:vAlign w:val="center"/>
          </w:tcPr>
          <w:p w14:paraId="0FD5D077">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踏勘现场</w:t>
            </w:r>
          </w:p>
        </w:tc>
        <w:tc>
          <w:tcPr>
            <w:tcW w:w="6126" w:type="dxa"/>
            <w:vAlign w:val="center"/>
          </w:tcPr>
          <w:p w14:paraId="498FFFC3">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□组织</w:t>
            </w:r>
          </w:p>
          <w:p w14:paraId="04053C92">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☑不组织</w:t>
            </w:r>
          </w:p>
          <w:p w14:paraId="66B4A37B">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B061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9" w:hRule="atLeast"/>
          <w:jc w:val="center"/>
        </w:trPr>
        <w:tc>
          <w:tcPr>
            <w:tcW w:w="738" w:type="dxa"/>
            <w:vAlign w:val="center"/>
          </w:tcPr>
          <w:p w14:paraId="4DB7825D">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9</w:t>
            </w:r>
          </w:p>
        </w:tc>
        <w:tc>
          <w:tcPr>
            <w:tcW w:w="1658" w:type="dxa"/>
            <w:vAlign w:val="center"/>
          </w:tcPr>
          <w:p w14:paraId="1BC408A6">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偏离</w:t>
            </w:r>
          </w:p>
        </w:tc>
        <w:tc>
          <w:tcPr>
            <w:tcW w:w="6126" w:type="dxa"/>
            <w:vAlign w:val="center"/>
          </w:tcPr>
          <w:p w14:paraId="116D1564">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☑不允许</w:t>
            </w:r>
          </w:p>
          <w:p w14:paraId="08862935">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□允许</w:t>
            </w:r>
          </w:p>
          <w:p w14:paraId="5FB51168">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允许细微偏离，应当符合相关规定的偏离范围和幅度。</w:t>
            </w:r>
          </w:p>
        </w:tc>
      </w:tr>
      <w:tr w14:paraId="3CBC9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exact"/>
          <w:jc w:val="center"/>
        </w:trPr>
        <w:tc>
          <w:tcPr>
            <w:tcW w:w="738" w:type="dxa"/>
            <w:vAlign w:val="center"/>
          </w:tcPr>
          <w:p w14:paraId="63EA535D">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10</w:t>
            </w:r>
          </w:p>
        </w:tc>
        <w:tc>
          <w:tcPr>
            <w:tcW w:w="1658" w:type="dxa"/>
            <w:vAlign w:val="center"/>
          </w:tcPr>
          <w:p w14:paraId="3150939D">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截止时间</w:t>
            </w:r>
          </w:p>
        </w:tc>
        <w:tc>
          <w:tcPr>
            <w:tcW w:w="6126" w:type="dxa"/>
            <w:vAlign w:val="center"/>
          </w:tcPr>
          <w:p w14:paraId="2A221DC5">
            <w:pPr>
              <w:wordWrap w:val="0"/>
              <w:adjustRightInd w:val="0"/>
              <w:snapToGrid w:val="0"/>
              <w:rPr>
                <w:rFonts w:hint="eastAsia" w:ascii="宋体" w:hAnsi="宋体" w:eastAsia="宋体" w:cs="宋体"/>
                <w:color w:val="auto"/>
                <w:sz w:val="21"/>
                <w:u w:val="single"/>
                <w:lang w:val="en-US"/>
              </w:rPr>
            </w:pPr>
            <w:r>
              <w:rPr>
                <w:rFonts w:hint="eastAsia" w:ascii="宋体" w:hAnsi="宋体" w:cs="宋体"/>
                <w:color w:val="auto"/>
                <w:sz w:val="21"/>
                <w:u w:val="single"/>
                <w:lang w:val="en-US" w:eastAsia="zh-CN"/>
              </w:rPr>
              <w:t>2023年9月25日12:00</w:t>
            </w:r>
          </w:p>
        </w:tc>
      </w:tr>
      <w:tr w14:paraId="545D3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exact"/>
          <w:jc w:val="center"/>
        </w:trPr>
        <w:tc>
          <w:tcPr>
            <w:tcW w:w="738" w:type="dxa"/>
            <w:vAlign w:val="center"/>
          </w:tcPr>
          <w:p w14:paraId="670E9E4C">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11</w:t>
            </w:r>
          </w:p>
        </w:tc>
        <w:tc>
          <w:tcPr>
            <w:tcW w:w="1658" w:type="dxa"/>
            <w:vAlign w:val="center"/>
          </w:tcPr>
          <w:p w14:paraId="3600E4D5">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保证金</w:t>
            </w:r>
          </w:p>
        </w:tc>
        <w:tc>
          <w:tcPr>
            <w:tcW w:w="6126" w:type="dxa"/>
            <w:vAlign w:val="center"/>
          </w:tcPr>
          <w:p w14:paraId="336C1D20">
            <w:pPr>
              <w:wordWrap w:val="0"/>
              <w:adjustRightInd w:val="0"/>
              <w:snapToGrid w:val="0"/>
              <w:jc w:val="left"/>
              <w:rPr>
                <w:rFonts w:hint="default" w:ascii="宋体" w:hAnsi="宋体" w:eastAsia="宋体" w:cs="宋体"/>
                <w:color w:val="auto"/>
                <w:sz w:val="21"/>
                <w:lang w:val="en-US" w:eastAsia="zh-CN"/>
              </w:rPr>
            </w:pPr>
            <w:r>
              <w:rPr>
                <w:rFonts w:hint="eastAsia" w:ascii="宋体" w:hAnsi="宋体" w:eastAsia="宋体" w:cs="宋体"/>
                <w:color w:val="auto"/>
                <w:sz w:val="21"/>
                <w:lang w:val="en-US" w:eastAsia="zh-CN"/>
              </w:rPr>
              <w:t>本项目不收取采购保证金</w:t>
            </w:r>
          </w:p>
        </w:tc>
      </w:tr>
      <w:tr w14:paraId="53139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6" w:hRule="exact"/>
          <w:jc w:val="center"/>
        </w:trPr>
        <w:tc>
          <w:tcPr>
            <w:tcW w:w="738" w:type="dxa"/>
            <w:vAlign w:val="center"/>
          </w:tcPr>
          <w:p w14:paraId="1951118A">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12</w:t>
            </w:r>
          </w:p>
        </w:tc>
        <w:tc>
          <w:tcPr>
            <w:tcW w:w="1658" w:type="dxa"/>
            <w:vAlign w:val="center"/>
          </w:tcPr>
          <w:p w14:paraId="52E52FA4">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盖章</w:t>
            </w:r>
          </w:p>
          <w:p w14:paraId="1D24CE88">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具体要求</w:t>
            </w:r>
          </w:p>
        </w:tc>
        <w:tc>
          <w:tcPr>
            <w:tcW w:w="6126" w:type="dxa"/>
            <w:vAlign w:val="center"/>
          </w:tcPr>
          <w:p w14:paraId="4FFCF0B3">
            <w:pPr>
              <w:wordWrap w:val="0"/>
              <w:adjustRightInd w:val="0"/>
              <w:snapToGrid w:val="0"/>
              <w:ind w:firstLine="0" w:firstLineChars="0"/>
              <w:rPr>
                <w:rFonts w:hint="eastAsia" w:ascii="宋体" w:hAnsi="宋体" w:eastAsia="宋体" w:cs="宋体"/>
                <w:color w:val="auto"/>
                <w:sz w:val="21"/>
                <w:lang w:eastAsia="zh-CN"/>
              </w:rPr>
            </w:pPr>
            <w:r>
              <w:rPr>
                <w:rFonts w:hint="eastAsia" w:ascii="宋体" w:hAnsi="宋体" w:eastAsia="宋体" w:cs="宋体"/>
                <w:color w:val="auto"/>
                <w:sz w:val="21"/>
                <w:lang w:eastAsia="zh-CN"/>
              </w:rPr>
              <w:t>响应文件应用不褪色的墨水书写或打印，并按竞价文件明确规定要求盖章。</w:t>
            </w:r>
          </w:p>
        </w:tc>
      </w:tr>
      <w:tr w14:paraId="53F86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exact"/>
          <w:jc w:val="center"/>
        </w:trPr>
        <w:tc>
          <w:tcPr>
            <w:tcW w:w="738" w:type="dxa"/>
            <w:vAlign w:val="center"/>
          </w:tcPr>
          <w:p w14:paraId="5C560D45">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13</w:t>
            </w:r>
          </w:p>
        </w:tc>
        <w:tc>
          <w:tcPr>
            <w:tcW w:w="1658" w:type="dxa"/>
            <w:vAlign w:val="center"/>
          </w:tcPr>
          <w:p w14:paraId="0C1B1B10">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文件</w:t>
            </w:r>
          </w:p>
          <w:p w14:paraId="58C3C61B">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份数</w:t>
            </w:r>
          </w:p>
        </w:tc>
        <w:tc>
          <w:tcPr>
            <w:tcW w:w="6126" w:type="dxa"/>
            <w:vAlign w:val="center"/>
          </w:tcPr>
          <w:p w14:paraId="10502118">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rPr>
              <w:t>一式</w:t>
            </w:r>
            <w:r>
              <w:rPr>
                <w:rFonts w:hint="eastAsia" w:ascii="宋体" w:hAnsi="宋体" w:eastAsia="宋体" w:cs="宋体"/>
                <w:color w:val="auto"/>
                <w:sz w:val="21"/>
                <w:lang w:val="en-US" w:eastAsia="zh-CN"/>
              </w:rPr>
              <w:t>一</w:t>
            </w:r>
            <w:r>
              <w:rPr>
                <w:rFonts w:hint="eastAsia" w:ascii="宋体" w:hAnsi="宋体" w:eastAsia="宋体" w:cs="宋体"/>
                <w:color w:val="auto"/>
                <w:sz w:val="21"/>
              </w:rPr>
              <w:t>份，密封提交</w:t>
            </w:r>
            <w:r>
              <w:rPr>
                <w:rFonts w:hint="eastAsia" w:ascii="宋体" w:hAnsi="宋体" w:eastAsia="宋体" w:cs="宋体"/>
                <w:color w:val="auto"/>
                <w:sz w:val="21"/>
                <w:lang w:eastAsia="zh-CN"/>
              </w:rPr>
              <w:t>。</w:t>
            </w:r>
          </w:p>
        </w:tc>
      </w:tr>
      <w:tr w14:paraId="5A404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738" w:type="dxa"/>
            <w:vAlign w:val="center"/>
          </w:tcPr>
          <w:p w14:paraId="3C85DAA1">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14</w:t>
            </w:r>
          </w:p>
        </w:tc>
        <w:tc>
          <w:tcPr>
            <w:tcW w:w="1658" w:type="dxa"/>
            <w:vAlign w:val="center"/>
          </w:tcPr>
          <w:p w14:paraId="3E881CC4">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装订要求</w:t>
            </w:r>
          </w:p>
        </w:tc>
        <w:tc>
          <w:tcPr>
            <w:tcW w:w="6126" w:type="dxa"/>
            <w:vAlign w:val="center"/>
          </w:tcPr>
          <w:p w14:paraId="5ABF2CB9">
            <w:pPr>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lang w:eastAsia="zh-CN"/>
              </w:rPr>
              <w:t>无</w:t>
            </w:r>
          </w:p>
        </w:tc>
      </w:tr>
      <w:tr w14:paraId="48E7B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1" w:hRule="atLeast"/>
          <w:jc w:val="center"/>
        </w:trPr>
        <w:tc>
          <w:tcPr>
            <w:tcW w:w="738" w:type="dxa"/>
            <w:vAlign w:val="center"/>
          </w:tcPr>
          <w:p w14:paraId="5CD7EF2E">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15</w:t>
            </w:r>
          </w:p>
        </w:tc>
        <w:tc>
          <w:tcPr>
            <w:tcW w:w="1658" w:type="dxa"/>
            <w:vAlign w:val="center"/>
          </w:tcPr>
          <w:p w14:paraId="1F15EB6F">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封套上写明</w:t>
            </w:r>
          </w:p>
        </w:tc>
        <w:tc>
          <w:tcPr>
            <w:tcW w:w="6126" w:type="dxa"/>
            <w:vAlign w:val="center"/>
          </w:tcPr>
          <w:p w14:paraId="0D181569">
            <w:pPr>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采购人名称：</w:t>
            </w:r>
            <w:r>
              <w:rPr>
                <w:rFonts w:hint="eastAsia" w:ascii="宋体" w:hAnsi="宋体" w:eastAsia="宋体" w:cs="宋体"/>
                <w:color w:val="auto"/>
                <w:sz w:val="21"/>
                <w:lang w:val="en-US" w:eastAsia="zh-CN"/>
              </w:rPr>
              <w:t>广东路通达建设工程有限公司</w:t>
            </w:r>
          </w:p>
          <w:p w14:paraId="4C351D34">
            <w:pPr>
              <w:wordWrap w:val="0"/>
              <w:adjustRightInd w:val="0"/>
              <w:snapToGrid w:val="0"/>
              <w:rPr>
                <w:rFonts w:hint="eastAsia" w:ascii="宋体" w:hAnsi="宋体" w:eastAsia="宋体" w:cs="宋体"/>
                <w:color w:val="auto"/>
                <w:sz w:val="21"/>
                <w:u w:val="single"/>
                <w:lang w:val="en-US" w:eastAsia="zh-CN"/>
              </w:rPr>
            </w:pPr>
            <w:r>
              <w:rPr>
                <w:rFonts w:hint="eastAsia" w:ascii="宋体" w:hAnsi="宋体" w:eastAsia="宋体" w:cs="宋体"/>
                <w:color w:val="auto"/>
                <w:sz w:val="21"/>
                <w:lang w:eastAsia="zh-CN"/>
              </w:rPr>
              <w:t>送达响应文件地址：</w:t>
            </w:r>
            <w:r>
              <w:rPr>
                <w:rFonts w:hint="eastAsia" w:ascii="宋体" w:hAnsi="宋体" w:eastAsia="宋体" w:cs="宋体"/>
                <w:color w:val="auto"/>
                <w:sz w:val="21"/>
                <w:lang w:val="en-US" w:eastAsia="zh-CN"/>
              </w:rPr>
              <w:t xml:space="preserve"> </w:t>
            </w:r>
            <w:r>
              <w:rPr>
                <w:rFonts w:hint="eastAsia" w:ascii="宋体" w:hAnsi="宋体" w:eastAsia="宋体" w:cs="宋体"/>
                <w:color w:val="auto"/>
                <w:sz w:val="21"/>
                <w:u w:val="single"/>
                <w:lang w:val="en-US" w:eastAsia="zh-CN"/>
              </w:rPr>
              <w:t xml:space="preserve"> 惠州市惠东县惠东大道1212号4楼</w:t>
            </w:r>
          </w:p>
          <w:p w14:paraId="199FD6C9">
            <w:pPr>
              <w:wordWrap w:val="0"/>
              <w:adjustRightInd w:val="0"/>
              <w:snapToGrid w:val="0"/>
              <w:spacing w:line="276" w:lineRule="auto"/>
              <w:rPr>
                <w:rFonts w:hint="eastAsia" w:ascii="宋体" w:hAnsi="宋体" w:eastAsia="宋体" w:cs="宋体"/>
                <w:color w:val="auto"/>
                <w:sz w:val="21"/>
                <w:u w:val="single"/>
                <w:lang w:eastAsia="zh-CN"/>
              </w:rPr>
            </w:pPr>
            <w:r>
              <w:rPr>
                <w:rFonts w:hint="eastAsia" w:ascii="宋体" w:hAnsi="宋体" w:eastAsia="宋体" w:cs="宋体"/>
                <w:color w:val="auto"/>
                <w:sz w:val="21"/>
                <w:lang w:eastAsia="zh-CN"/>
              </w:rPr>
              <w:t>响应人名称：</w:t>
            </w:r>
            <w:r>
              <w:rPr>
                <w:rFonts w:hint="eastAsia" w:ascii="宋体" w:hAnsi="宋体" w:eastAsia="宋体" w:cs="宋体"/>
                <w:color w:val="auto"/>
                <w:sz w:val="21"/>
                <w:u w:val="single"/>
                <w:lang w:eastAsia="zh-CN"/>
              </w:rPr>
              <w:t xml:space="preserve">    </w:t>
            </w:r>
          </w:p>
          <w:p w14:paraId="4E680A7F">
            <w:pPr>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响应人地址：</w:t>
            </w:r>
            <w:r>
              <w:rPr>
                <w:rFonts w:hint="eastAsia" w:ascii="宋体" w:hAnsi="宋体" w:eastAsia="宋体" w:cs="宋体"/>
                <w:color w:val="auto"/>
                <w:sz w:val="21"/>
                <w:u w:val="single"/>
                <w:lang w:eastAsia="zh-CN"/>
              </w:rPr>
              <w:t xml:space="preserve">    </w:t>
            </w:r>
          </w:p>
          <w:p w14:paraId="44BF96BA">
            <w:pPr>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响应项目名称：</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lang w:eastAsia="zh-CN"/>
              </w:rPr>
              <w:t>响应文件</w:t>
            </w:r>
          </w:p>
          <w:p w14:paraId="3D08A9FD">
            <w:pPr>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在</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u w:val="single"/>
                <w:lang w:val="en-US" w:eastAsia="zh-CN"/>
              </w:rPr>
              <w:t xml:space="preserve">    </w:t>
            </w:r>
            <w:r>
              <w:rPr>
                <w:rFonts w:hint="eastAsia" w:ascii="宋体" w:hAnsi="宋体" w:eastAsia="宋体" w:cs="宋体"/>
                <w:color w:val="auto"/>
                <w:sz w:val="21"/>
                <w:u w:val="single"/>
                <w:lang w:eastAsia="zh-CN"/>
              </w:rPr>
              <w:t xml:space="preserve"> </w:t>
            </w:r>
            <w:r>
              <w:rPr>
                <w:rFonts w:hint="eastAsia" w:ascii="宋体" w:hAnsi="宋体" w:eastAsia="宋体" w:cs="宋体"/>
                <w:bCs/>
                <w:color w:val="auto"/>
                <w:sz w:val="21"/>
                <w:lang w:eastAsia="zh-CN"/>
              </w:rPr>
              <w:t>年</w:t>
            </w:r>
            <w:r>
              <w:rPr>
                <w:rFonts w:hint="eastAsia" w:ascii="宋体" w:hAnsi="宋体" w:eastAsia="宋体" w:cs="宋体"/>
                <w:bCs/>
                <w:color w:val="auto"/>
                <w:sz w:val="21"/>
                <w:u w:val="single"/>
                <w:lang w:eastAsia="zh-CN"/>
              </w:rPr>
              <w:t xml:space="preserve"> </w:t>
            </w:r>
            <w:r>
              <w:rPr>
                <w:rFonts w:hint="eastAsia" w:ascii="宋体" w:hAnsi="宋体" w:eastAsia="宋体" w:cs="宋体"/>
                <w:bCs/>
                <w:color w:val="auto"/>
                <w:sz w:val="21"/>
                <w:u w:val="single"/>
                <w:lang w:val="en-US" w:eastAsia="zh-CN"/>
              </w:rPr>
              <w:t xml:space="preserve">  </w:t>
            </w:r>
            <w:r>
              <w:rPr>
                <w:rFonts w:hint="eastAsia" w:ascii="宋体" w:hAnsi="宋体" w:eastAsia="宋体" w:cs="宋体"/>
                <w:bCs/>
                <w:color w:val="auto"/>
                <w:sz w:val="21"/>
                <w:u w:val="single"/>
                <w:lang w:eastAsia="zh-CN"/>
              </w:rPr>
              <w:t xml:space="preserve"> </w:t>
            </w:r>
            <w:r>
              <w:rPr>
                <w:rFonts w:hint="eastAsia" w:ascii="宋体" w:hAnsi="宋体" w:eastAsia="宋体" w:cs="宋体"/>
                <w:color w:val="auto"/>
                <w:kern w:val="44"/>
                <w:sz w:val="21"/>
                <w:lang w:eastAsia="zh-CN"/>
              </w:rPr>
              <w:t>月</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日</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时</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分（即开启时间）</w:t>
            </w:r>
            <w:r>
              <w:rPr>
                <w:rFonts w:hint="eastAsia" w:ascii="宋体" w:hAnsi="宋体" w:eastAsia="宋体" w:cs="宋体"/>
                <w:color w:val="auto"/>
                <w:sz w:val="21"/>
                <w:lang w:eastAsia="zh-CN"/>
              </w:rPr>
              <w:t>前不得开启</w:t>
            </w:r>
          </w:p>
          <w:p w14:paraId="32657DF8">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b/>
                <w:color w:val="auto"/>
                <w:sz w:val="21"/>
                <w:lang w:eastAsia="zh-CN"/>
              </w:rPr>
              <w:t>封口处须加盖响应人单位公章</w:t>
            </w:r>
          </w:p>
        </w:tc>
      </w:tr>
      <w:tr w14:paraId="585AD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38" w:type="dxa"/>
            <w:vAlign w:val="center"/>
          </w:tcPr>
          <w:p w14:paraId="22729870">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16</w:t>
            </w:r>
          </w:p>
        </w:tc>
        <w:tc>
          <w:tcPr>
            <w:tcW w:w="1658" w:type="dxa"/>
            <w:vAlign w:val="center"/>
          </w:tcPr>
          <w:p w14:paraId="64F3EE94">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递交</w:t>
            </w:r>
            <w:r>
              <w:rPr>
                <w:rFonts w:hint="eastAsia" w:ascii="宋体" w:hAnsi="宋体" w:eastAsia="宋体" w:cs="宋体"/>
                <w:color w:val="auto"/>
                <w:sz w:val="21"/>
                <w:lang w:eastAsia="zh-CN"/>
              </w:rPr>
              <w:t>响应文件</w:t>
            </w:r>
            <w:r>
              <w:rPr>
                <w:rFonts w:hint="eastAsia" w:ascii="宋体" w:hAnsi="宋体" w:eastAsia="宋体" w:cs="宋体"/>
                <w:color w:val="auto"/>
                <w:sz w:val="21"/>
              </w:rPr>
              <w:t>地点</w:t>
            </w:r>
          </w:p>
        </w:tc>
        <w:tc>
          <w:tcPr>
            <w:tcW w:w="6126" w:type="dxa"/>
            <w:vAlign w:val="center"/>
          </w:tcPr>
          <w:p w14:paraId="66D5A7B6">
            <w:pPr>
              <w:wordWrap w:val="0"/>
              <w:adjustRightInd w:val="0"/>
              <w:snapToGrid w:val="0"/>
              <w:rPr>
                <w:rFonts w:hint="eastAsia" w:ascii="宋体" w:hAnsi="宋体" w:eastAsia="宋体" w:cs="宋体"/>
                <w:b/>
                <w:color w:val="auto"/>
                <w:sz w:val="21"/>
                <w:lang w:eastAsia="zh-CN"/>
              </w:rPr>
            </w:pPr>
            <w:r>
              <w:rPr>
                <w:rFonts w:hint="eastAsia" w:ascii="宋体" w:hAnsi="宋体" w:eastAsia="宋体" w:cs="宋体"/>
                <w:bCs/>
                <w:color w:val="auto"/>
                <w:sz w:val="21"/>
                <w:u w:val="single"/>
                <w:lang w:val="en-US" w:eastAsia="zh-CN"/>
              </w:rPr>
              <w:t xml:space="preserve"> </w:t>
            </w:r>
            <w:r>
              <w:rPr>
                <w:rFonts w:hint="eastAsia" w:ascii="宋体" w:hAnsi="宋体" w:eastAsia="宋体" w:cs="宋体"/>
                <w:color w:val="auto"/>
                <w:sz w:val="21"/>
                <w:u w:val="single"/>
                <w:lang w:val="en-US" w:eastAsia="zh-CN"/>
              </w:rPr>
              <w:t>惠州市惠东县惠东大道1212号4楼</w:t>
            </w:r>
            <w:r>
              <w:rPr>
                <w:rFonts w:hint="eastAsia" w:ascii="宋体" w:hAnsi="宋体" w:eastAsia="宋体" w:cs="宋体"/>
                <w:bCs/>
                <w:color w:val="auto"/>
                <w:sz w:val="21"/>
                <w:u w:val="single"/>
                <w:lang w:val="en-US" w:eastAsia="zh-CN"/>
              </w:rPr>
              <w:t xml:space="preserve"> </w:t>
            </w:r>
          </w:p>
        </w:tc>
      </w:tr>
      <w:tr w14:paraId="62915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38" w:type="dxa"/>
            <w:vAlign w:val="center"/>
          </w:tcPr>
          <w:p w14:paraId="5284F527">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17</w:t>
            </w:r>
          </w:p>
        </w:tc>
        <w:tc>
          <w:tcPr>
            <w:tcW w:w="1658" w:type="dxa"/>
            <w:vAlign w:val="center"/>
          </w:tcPr>
          <w:p w14:paraId="29167CFF">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响应文件开启时间和地点</w:t>
            </w:r>
          </w:p>
        </w:tc>
        <w:tc>
          <w:tcPr>
            <w:tcW w:w="6126" w:type="dxa"/>
            <w:vAlign w:val="center"/>
          </w:tcPr>
          <w:p w14:paraId="548BD4A3">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开启时间：同响应截止时间</w:t>
            </w:r>
          </w:p>
          <w:p w14:paraId="111FCE84">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开启地点：同递交响应文件地点</w:t>
            </w:r>
          </w:p>
        </w:tc>
      </w:tr>
      <w:tr w14:paraId="3ABE9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1" w:hRule="exact"/>
          <w:jc w:val="center"/>
        </w:trPr>
        <w:tc>
          <w:tcPr>
            <w:tcW w:w="738" w:type="dxa"/>
            <w:vAlign w:val="center"/>
          </w:tcPr>
          <w:p w14:paraId="094CCD7C">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18</w:t>
            </w:r>
          </w:p>
        </w:tc>
        <w:tc>
          <w:tcPr>
            <w:tcW w:w="1658" w:type="dxa"/>
            <w:vAlign w:val="center"/>
          </w:tcPr>
          <w:p w14:paraId="59641BBE">
            <w:pPr>
              <w:wordWrap w:val="0"/>
              <w:jc w:val="center"/>
              <w:rPr>
                <w:rFonts w:hint="eastAsia" w:ascii="宋体" w:hAnsi="宋体" w:eastAsia="宋体" w:cs="宋体"/>
                <w:color w:val="auto"/>
                <w:sz w:val="21"/>
              </w:rPr>
            </w:pPr>
            <w:r>
              <w:rPr>
                <w:rFonts w:hint="eastAsia" w:ascii="宋体" w:hAnsi="宋体" w:eastAsia="宋体" w:cs="宋体"/>
                <w:color w:val="auto"/>
                <w:sz w:val="21"/>
                <w:lang w:eastAsia="zh-CN"/>
              </w:rPr>
              <w:t>竞价</w:t>
            </w:r>
            <w:r>
              <w:rPr>
                <w:rFonts w:hint="eastAsia" w:ascii="宋体" w:hAnsi="宋体" w:eastAsia="宋体" w:cs="宋体"/>
                <w:color w:val="auto"/>
                <w:sz w:val="21"/>
              </w:rPr>
              <w:t>程序</w:t>
            </w:r>
          </w:p>
        </w:tc>
        <w:tc>
          <w:tcPr>
            <w:tcW w:w="6126" w:type="dxa"/>
            <w:vAlign w:val="center"/>
          </w:tcPr>
          <w:p w14:paraId="69A97EDC">
            <w:pPr>
              <w:pStyle w:val="20"/>
              <w:wordWrap w:val="0"/>
              <w:ind w:firstLine="0" w:firstLineChars="0"/>
              <w:rPr>
                <w:rFonts w:hint="eastAsia" w:ascii="宋体" w:hAnsi="宋体" w:eastAsia="宋体" w:cs="宋体"/>
                <w:color w:val="auto"/>
                <w:sz w:val="21"/>
                <w:lang w:eastAsia="zh-CN"/>
              </w:rPr>
            </w:pPr>
            <w:r>
              <w:rPr>
                <w:rFonts w:hint="eastAsia" w:ascii="宋体" w:hAnsi="宋体" w:eastAsia="宋体" w:cs="宋体"/>
                <w:color w:val="auto"/>
                <w:sz w:val="21"/>
                <w:lang w:eastAsia="zh-CN"/>
              </w:rPr>
              <w:t>（1）核对原件：</w:t>
            </w:r>
            <w:r>
              <w:rPr>
                <w:rFonts w:hint="eastAsia" w:ascii="宋体" w:hAnsi="宋体" w:eastAsia="宋体" w:cs="宋体"/>
                <w:color w:val="auto"/>
                <w:sz w:val="21"/>
                <w:lang w:val="en-US" w:eastAsia="zh-CN"/>
              </w:rPr>
              <w:t>无</w:t>
            </w:r>
            <w:r>
              <w:rPr>
                <w:rFonts w:hint="eastAsia" w:ascii="宋体" w:hAnsi="宋体" w:eastAsia="宋体" w:cs="宋体"/>
                <w:color w:val="auto"/>
                <w:sz w:val="21"/>
                <w:lang w:eastAsia="zh-CN"/>
              </w:rPr>
              <w:t>；</w:t>
            </w:r>
          </w:p>
          <w:p w14:paraId="4C5F8A67">
            <w:pPr>
              <w:wordWrap w:val="0"/>
              <w:rPr>
                <w:rFonts w:hint="eastAsia" w:ascii="宋体" w:hAnsi="宋体" w:eastAsia="宋体" w:cs="宋体"/>
                <w:color w:val="auto"/>
                <w:sz w:val="21"/>
                <w:lang w:eastAsia="zh-CN"/>
              </w:rPr>
            </w:pPr>
            <w:r>
              <w:rPr>
                <w:rFonts w:hint="eastAsia" w:ascii="宋体" w:hAnsi="宋体" w:eastAsia="宋体" w:cs="宋体"/>
                <w:bCs/>
                <w:color w:val="auto"/>
                <w:sz w:val="21"/>
                <w:lang w:eastAsia="zh-CN"/>
              </w:rPr>
              <w:t>（2）</w:t>
            </w:r>
            <w:r>
              <w:rPr>
                <w:rFonts w:hint="eastAsia" w:ascii="宋体" w:hAnsi="宋体" w:eastAsia="宋体" w:cs="宋体"/>
                <w:color w:val="auto"/>
                <w:sz w:val="21"/>
                <w:lang w:eastAsia="zh-CN"/>
              </w:rPr>
              <w:t>开启顺序：按响应人递交响应文件时间的</w:t>
            </w:r>
            <w:r>
              <w:rPr>
                <w:rFonts w:hint="eastAsia" w:ascii="宋体" w:hAnsi="宋体" w:eastAsia="宋体" w:cs="宋体"/>
                <w:color w:val="auto"/>
                <w:sz w:val="21"/>
                <w:lang w:val="en-US" w:eastAsia="zh-CN"/>
              </w:rPr>
              <w:t>顺序</w:t>
            </w:r>
            <w:r>
              <w:rPr>
                <w:rFonts w:hint="eastAsia" w:ascii="宋体" w:hAnsi="宋体" w:eastAsia="宋体" w:cs="宋体"/>
                <w:color w:val="auto"/>
                <w:sz w:val="21"/>
                <w:lang w:eastAsia="zh-CN"/>
              </w:rPr>
              <w:t>开启；</w:t>
            </w:r>
          </w:p>
          <w:p w14:paraId="4F3C2403">
            <w:pPr>
              <w:wordWrap w:val="0"/>
              <w:rPr>
                <w:rFonts w:hint="eastAsia" w:ascii="宋体" w:hAnsi="宋体" w:eastAsia="宋体" w:cs="宋体"/>
                <w:color w:val="auto"/>
                <w:sz w:val="21"/>
                <w:lang w:eastAsia="zh-CN"/>
              </w:rPr>
            </w:pPr>
            <w:r>
              <w:rPr>
                <w:rFonts w:hint="eastAsia" w:ascii="宋体" w:hAnsi="宋体" w:eastAsia="宋体" w:cs="宋体"/>
                <w:color w:val="auto"/>
                <w:sz w:val="21"/>
                <w:lang w:eastAsia="zh-CN"/>
              </w:rPr>
              <w:t>（</w:t>
            </w:r>
            <w:r>
              <w:rPr>
                <w:rFonts w:hint="eastAsia" w:ascii="宋体" w:hAnsi="宋体" w:eastAsia="宋体" w:cs="宋体"/>
                <w:color w:val="auto"/>
                <w:sz w:val="21"/>
                <w:lang w:val="en-US" w:eastAsia="zh-CN"/>
              </w:rPr>
              <w:t>3</w:t>
            </w:r>
            <w:r>
              <w:rPr>
                <w:rFonts w:hint="eastAsia" w:ascii="宋体" w:hAnsi="宋体" w:eastAsia="宋体" w:cs="宋体"/>
                <w:color w:val="auto"/>
                <w:sz w:val="21"/>
                <w:lang w:eastAsia="zh-CN"/>
              </w:rPr>
              <w:t>）开启时，报价函中报价总价小写金额与大写金额不一致时，以大写金额为准。</w:t>
            </w:r>
          </w:p>
        </w:tc>
      </w:tr>
      <w:tr w14:paraId="4FC65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exact"/>
          <w:jc w:val="center"/>
        </w:trPr>
        <w:tc>
          <w:tcPr>
            <w:tcW w:w="738" w:type="dxa"/>
            <w:vAlign w:val="center"/>
          </w:tcPr>
          <w:p w14:paraId="3DCFD72D">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19</w:t>
            </w:r>
          </w:p>
        </w:tc>
        <w:tc>
          <w:tcPr>
            <w:tcW w:w="1658" w:type="dxa"/>
            <w:vAlign w:val="center"/>
          </w:tcPr>
          <w:p w14:paraId="0B25F220">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评</w:t>
            </w:r>
            <w:r>
              <w:rPr>
                <w:rFonts w:hint="eastAsia" w:ascii="宋体" w:hAnsi="宋体" w:eastAsia="宋体" w:cs="宋体"/>
                <w:color w:val="auto"/>
                <w:sz w:val="21"/>
                <w:lang w:eastAsia="zh-CN"/>
              </w:rPr>
              <w:t>选</w:t>
            </w:r>
            <w:r>
              <w:rPr>
                <w:rFonts w:hint="eastAsia" w:ascii="宋体" w:hAnsi="宋体" w:eastAsia="宋体" w:cs="宋体"/>
                <w:color w:val="auto"/>
                <w:sz w:val="21"/>
              </w:rPr>
              <w:t>办法</w:t>
            </w:r>
          </w:p>
        </w:tc>
        <w:tc>
          <w:tcPr>
            <w:tcW w:w="6126" w:type="dxa"/>
            <w:vAlign w:val="center"/>
          </w:tcPr>
          <w:p w14:paraId="726FD682">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详见第四部分</w:t>
            </w:r>
          </w:p>
        </w:tc>
      </w:tr>
      <w:tr w14:paraId="68581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1642A862">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0</w:t>
            </w:r>
          </w:p>
        </w:tc>
        <w:tc>
          <w:tcPr>
            <w:tcW w:w="1658" w:type="dxa"/>
            <w:vAlign w:val="center"/>
          </w:tcPr>
          <w:p w14:paraId="393496CC">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推荐中选候选人</w:t>
            </w:r>
          </w:p>
        </w:tc>
        <w:tc>
          <w:tcPr>
            <w:tcW w:w="6126" w:type="dxa"/>
            <w:vAlign w:val="center"/>
          </w:tcPr>
          <w:p w14:paraId="4F149496">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推荐中选候选人的人数为</w:t>
            </w:r>
            <w:r>
              <w:rPr>
                <w:rFonts w:hint="eastAsia" w:ascii="宋体" w:hAnsi="宋体" w:eastAsia="宋体" w:cs="宋体"/>
                <w:color w:val="auto"/>
                <w:sz w:val="21"/>
                <w:lang w:val="en-US" w:eastAsia="zh-CN"/>
              </w:rPr>
              <w:t>1</w:t>
            </w:r>
            <w:r>
              <w:rPr>
                <w:rFonts w:hint="eastAsia" w:ascii="宋体" w:hAnsi="宋体" w:eastAsia="宋体" w:cs="宋体"/>
                <w:color w:val="auto"/>
                <w:sz w:val="21"/>
                <w:lang w:eastAsia="zh-CN"/>
              </w:rPr>
              <w:t>名。</w:t>
            </w:r>
          </w:p>
        </w:tc>
      </w:tr>
      <w:tr w14:paraId="7F2E4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8" w:type="dxa"/>
            <w:vAlign w:val="center"/>
          </w:tcPr>
          <w:p w14:paraId="7C782D37">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2</w:t>
            </w:r>
            <w:r>
              <w:rPr>
                <w:rFonts w:hint="eastAsia" w:ascii="宋体" w:hAnsi="宋体" w:eastAsia="宋体" w:cs="宋体"/>
                <w:color w:val="auto"/>
                <w:sz w:val="21"/>
                <w:lang w:val="en-US" w:eastAsia="zh-CN"/>
              </w:rPr>
              <w:t>1</w:t>
            </w:r>
          </w:p>
        </w:tc>
        <w:tc>
          <w:tcPr>
            <w:tcW w:w="1658" w:type="dxa"/>
            <w:vAlign w:val="center"/>
          </w:tcPr>
          <w:p w14:paraId="57038599">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中</w:t>
            </w:r>
            <w:r>
              <w:rPr>
                <w:rFonts w:hint="eastAsia" w:ascii="宋体" w:hAnsi="宋体" w:eastAsia="宋体" w:cs="宋体"/>
                <w:color w:val="auto"/>
                <w:sz w:val="21"/>
                <w:lang w:eastAsia="zh-CN"/>
              </w:rPr>
              <w:t>选</w:t>
            </w:r>
            <w:r>
              <w:rPr>
                <w:rFonts w:hint="eastAsia" w:ascii="宋体" w:hAnsi="宋体" w:eastAsia="宋体" w:cs="宋体"/>
                <w:color w:val="auto"/>
                <w:sz w:val="21"/>
              </w:rPr>
              <w:t>通知</w:t>
            </w:r>
          </w:p>
        </w:tc>
        <w:tc>
          <w:tcPr>
            <w:tcW w:w="6126" w:type="dxa"/>
            <w:vAlign w:val="center"/>
          </w:tcPr>
          <w:p w14:paraId="19045667">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u w:val="single"/>
                <w:lang w:eastAsia="zh-CN"/>
              </w:rPr>
              <w:t>采购</w:t>
            </w:r>
            <w:r>
              <w:rPr>
                <w:rFonts w:hint="eastAsia" w:ascii="宋体" w:hAnsi="宋体" w:eastAsia="宋体" w:cs="宋体"/>
                <w:color w:val="auto"/>
                <w:sz w:val="21"/>
                <w:szCs w:val="21"/>
                <w:u w:val="single"/>
                <w:lang w:eastAsia="zh-CN" w:bidi="ar"/>
              </w:rPr>
              <w:t>人将</w:t>
            </w:r>
            <w:r>
              <w:rPr>
                <w:rFonts w:hint="eastAsia" w:ascii="宋体" w:hAnsi="宋体" w:eastAsia="宋体" w:cs="宋体"/>
                <w:color w:val="auto"/>
                <w:sz w:val="21"/>
                <w:u w:val="single"/>
                <w:lang w:val="en-US" w:eastAsia="zh-CN"/>
              </w:rPr>
              <w:t>竞价</w:t>
            </w:r>
            <w:r>
              <w:rPr>
                <w:rFonts w:hint="eastAsia" w:ascii="宋体" w:hAnsi="宋体" w:eastAsia="宋体" w:cs="宋体"/>
                <w:color w:val="auto"/>
                <w:sz w:val="21"/>
                <w:szCs w:val="21"/>
                <w:u w:val="single"/>
                <w:lang w:eastAsia="zh-CN" w:bidi="ar"/>
              </w:rPr>
              <w:t>结果在</w:t>
            </w:r>
            <w:r>
              <w:rPr>
                <w:rFonts w:hint="eastAsia" w:ascii="宋体" w:hAnsi="宋体" w:eastAsia="宋体" w:cs="宋体"/>
                <w:color w:val="auto"/>
                <w:sz w:val="21"/>
                <w:szCs w:val="21"/>
                <w:u w:val="single"/>
                <w:lang w:val="en-US" w:eastAsia="zh-CN" w:bidi="ar"/>
              </w:rPr>
              <w:t>广东路通达建设工程有限公司</w:t>
            </w:r>
            <w:r>
              <w:rPr>
                <w:rFonts w:hint="eastAsia" w:ascii="宋体" w:hAnsi="宋体" w:eastAsia="宋体" w:cs="宋体"/>
                <w:color w:val="auto"/>
                <w:sz w:val="21"/>
                <w:szCs w:val="21"/>
                <w:u w:val="single"/>
                <w:lang w:eastAsia="zh-CN" w:bidi="ar"/>
              </w:rPr>
              <w:t>官网（http://www.gdltdjs.com）公示</w:t>
            </w:r>
            <w:r>
              <w:rPr>
                <w:rFonts w:hint="eastAsia" w:ascii="宋体" w:hAnsi="宋体" w:eastAsia="宋体" w:cs="宋体"/>
                <w:color w:val="auto"/>
                <w:sz w:val="21"/>
                <w:szCs w:val="21"/>
                <w:u w:val="single"/>
                <w:lang w:val="en-US" w:eastAsia="zh-CN" w:bidi="ar"/>
              </w:rPr>
              <w:t>3天</w:t>
            </w:r>
            <w:r>
              <w:rPr>
                <w:rFonts w:hint="eastAsia" w:ascii="宋体" w:hAnsi="宋体" w:eastAsia="宋体" w:cs="宋体"/>
                <w:color w:val="auto"/>
                <w:sz w:val="21"/>
                <w:szCs w:val="21"/>
                <w:u w:val="single"/>
                <w:lang w:eastAsia="zh-CN" w:bidi="ar"/>
              </w:rPr>
              <w:t>，公示无异议后以书面形式向中选人发出中选通知书。</w:t>
            </w:r>
          </w:p>
        </w:tc>
      </w:tr>
      <w:tr w14:paraId="19DF7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8" w:type="dxa"/>
            <w:vAlign w:val="center"/>
          </w:tcPr>
          <w:p w14:paraId="7B6FEBAB">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2</w:t>
            </w:r>
          </w:p>
        </w:tc>
        <w:tc>
          <w:tcPr>
            <w:tcW w:w="1658" w:type="dxa"/>
            <w:vAlign w:val="center"/>
          </w:tcPr>
          <w:p w14:paraId="1F55D73F">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履约担保</w:t>
            </w:r>
          </w:p>
        </w:tc>
        <w:tc>
          <w:tcPr>
            <w:tcW w:w="6126" w:type="dxa"/>
            <w:vAlign w:val="center"/>
          </w:tcPr>
          <w:p w14:paraId="4825D4BC">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rPr>
              <w:t>/</w:t>
            </w:r>
          </w:p>
        </w:tc>
      </w:tr>
      <w:tr w14:paraId="13CD3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exact"/>
          <w:jc w:val="center"/>
        </w:trPr>
        <w:tc>
          <w:tcPr>
            <w:tcW w:w="738" w:type="dxa"/>
            <w:vAlign w:val="center"/>
          </w:tcPr>
          <w:p w14:paraId="1497628D">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3</w:t>
            </w:r>
          </w:p>
        </w:tc>
        <w:tc>
          <w:tcPr>
            <w:tcW w:w="1658" w:type="dxa"/>
            <w:vAlign w:val="center"/>
          </w:tcPr>
          <w:p w14:paraId="0925DD61">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质量担保</w:t>
            </w:r>
          </w:p>
        </w:tc>
        <w:tc>
          <w:tcPr>
            <w:tcW w:w="6126" w:type="dxa"/>
            <w:vAlign w:val="center"/>
          </w:tcPr>
          <w:p w14:paraId="20675390">
            <w:pPr>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rPr>
              <w:t>/</w:t>
            </w:r>
          </w:p>
        </w:tc>
      </w:tr>
      <w:tr w14:paraId="52CB7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exact"/>
          <w:jc w:val="center"/>
        </w:trPr>
        <w:tc>
          <w:tcPr>
            <w:tcW w:w="8522" w:type="dxa"/>
            <w:gridSpan w:val="3"/>
            <w:vAlign w:val="center"/>
          </w:tcPr>
          <w:p w14:paraId="0739343F">
            <w:pPr>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需要补充的其他内容</w:t>
            </w:r>
          </w:p>
        </w:tc>
      </w:tr>
      <w:tr w14:paraId="68A15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0FB1F566">
            <w:pPr>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2</w:t>
            </w:r>
            <w:r>
              <w:rPr>
                <w:rFonts w:hint="eastAsia" w:ascii="宋体" w:hAnsi="宋体" w:eastAsia="宋体" w:cs="宋体"/>
                <w:b w:val="0"/>
                <w:bCs/>
                <w:color w:val="auto"/>
                <w:sz w:val="21"/>
                <w:lang w:val="en-US" w:eastAsia="zh-CN"/>
              </w:rPr>
              <w:t>4</w:t>
            </w:r>
          </w:p>
        </w:tc>
        <w:tc>
          <w:tcPr>
            <w:tcW w:w="1658" w:type="dxa"/>
            <w:vAlign w:val="center"/>
          </w:tcPr>
          <w:p w14:paraId="0F412E82">
            <w:pPr>
              <w:wordWrap w:val="0"/>
              <w:adjustRightInd w:val="0"/>
              <w:snapToGrid w:val="0"/>
              <w:jc w:val="center"/>
              <w:rPr>
                <w:rFonts w:hint="eastAsia" w:ascii="宋体" w:hAnsi="宋体" w:eastAsia="宋体" w:cs="宋体"/>
                <w:b w:val="0"/>
                <w:bCs/>
                <w:color w:val="auto"/>
              </w:rPr>
            </w:pPr>
            <w:r>
              <w:rPr>
                <w:rFonts w:hint="eastAsia" w:ascii="宋体" w:hAnsi="宋体" w:eastAsia="宋体" w:cs="宋体"/>
                <w:b w:val="0"/>
                <w:bCs/>
                <w:color w:val="auto"/>
                <w:sz w:val="21"/>
              </w:rPr>
              <w:t>废</w:t>
            </w:r>
            <w:r>
              <w:rPr>
                <w:rFonts w:hint="eastAsia" w:ascii="宋体" w:hAnsi="宋体" w:eastAsia="宋体" w:cs="宋体"/>
                <w:b w:val="0"/>
                <w:bCs/>
                <w:color w:val="auto"/>
                <w:sz w:val="21"/>
                <w:lang w:eastAsia="zh-CN"/>
              </w:rPr>
              <w:t>选</w:t>
            </w:r>
            <w:r>
              <w:rPr>
                <w:rFonts w:hint="eastAsia" w:ascii="宋体" w:hAnsi="宋体" w:eastAsia="宋体" w:cs="宋体"/>
                <w:b w:val="0"/>
                <w:bCs/>
                <w:color w:val="auto"/>
                <w:sz w:val="21"/>
              </w:rPr>
              <w:t>条款</w:t>
            </w:r>
          </w:p>
        </w:tc>
        <w:tc>
          <w:tcPr>
            <w:tcW w:w="6126" w:type="dxa"/>
            <w:vAlign w:val="center"/>
          </w:tcPr>
          <w:p w14:paraId="3AA46287">
            <w:pPr>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1、响应人必须同时满足本表格第6项“参选人资格条件”所列的全部条件，否则废选；</w:t>
            </w:r>
          </w:p>
          <w:p w14:paraId="7582FF97">
            <w:pPr>
              <w:wordWrap w:val="0"/>
              <w:rPr>
                <w:rFonts w:hint="eastAsia" w:ascii="宋体" w:hAnsi="宋体" w:eastAsia="宋体" w:cs="宋体"/>
                <w:b w:val="0"/>
                <w:bCs/>
                <w:color w:val="auto"/>
              </w:rPr>
            </w:pPr>
            <w:r>
              <w:rPr>
                <w:rFonts w:hint="eastAsia" w:ascii="宋体" w:hAnsi="宋体" w:eastAsia="宋体" w:cs="宋体"/>
                <w:b w:val="0"/>
                <w:bCs/>
                <w:color w:val="auto"/>
                <w:sz w:val="21"/>
                <w:lang w:eastAsia="zh-CN"/>
              </w:rPr>
              <w:t>2、响应人必须在约定的时间内，将响应文件递交到指定地点，否则废选：</w:t>
            </w:r>
          </w:p>
        </w:tc>
      </w:tr>
      <w:tr w14:paraId="758A1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492E13A0">
            <w:pPr>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rPr>
              <w:t>2</w:t>
            </w:r>
            <w:r>
              <w:rPr>
                <w:rFonts w:hint="eastAsia" w:ascii="宋体" w:hAnsi="宋体" w:eastAsia="宋体" w:cs="宋体"/>
                <w:b w:val="0"/>
                <w:bCs/>
                <w:color w:val="auto"/>
                <w:sz w:val="21"/>
                <w:lang w:val="en-US" w:eastAsia="zh-CN"/>
              </w:rPr>
              <w:t>5</w:t>
            </w:r>
          </w:p>
        </w:tc>
        <w:tc>
          <w:tcPr>
            <w:tcW w:w="1658" w:type="dxa"/>
            <w:vAlign w:val="center"/>
          </w:tcPr>
          <w:p w14:paraId="1C94019F">
            <w:pPr>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最高限价</w:t>
            </w:r>
          </w:p>
        </w:tc>
        <w:tc>
          <w:tcPr>
            <w:tcW w:w="6126" w:type="dxa"/>
            <w:vAlign w:val="center"/>
          </w:tcPr>
          <w:p w14:paraId="5E1684E5">
            <w:pPr>
              <w:wordWrap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本工程</w:t>
            </w:r>
            <w:r>
              <w:rPr>
                <w:rFonts w:hint="eastAsia" w:ascii="宋体" w:hAnsi="宋体" w:eastAsia="宋体" w:cs="宋体"/>
                <w:b w:val="0"/>
                <w:bCs/>
                <w:color w:val="auto"/>
                <w:sz w:val="21"/>
                <w:lang w:val="en-US" w:eastAsia="zh-CN"/>
              </w:rPr>
              <w:t>不设置最高限价</w:t>
            </w:r>
          </w:p>
        </w:tc>
      </w:tr>
      <w:tr w14:paraId="35F0B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73211D43">
            <w:pPr>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w:t>
            </w:r>
            <w:r>
              <w:rPr>
                <w:rFonts w:hint="eastAsia" w:ascii="宋体" w:hAnsi="宋体" w:eastAsia="宋体" w:cs="宋体"/>
                <w:b w:val="0"/>
                <w:bCs/>
                <w:color w:val="auto"/>
                <w:sz w:val="21"/>
                <w:lang w:val="en-US" w:eastAsia="zh-CN"/>
              </w:rPr>
              <w:t>6</w:t>
            </w:r>
          </w:p>
        </w:tc>
        <w:tc>
          <w:tcPr>
            <w:tcW w:w="1658" w:type="dxa"/>
            <w:vAlign w:val="center"/>
          </w:tcPr>
          <w:p w14:paraId="5EA13781">
            <w:pPr>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lang w:eastAsia="zh-CN"/>
              </w:rPr>
              <w:t>重新竞价</w:t>
            </w:r>
          </w:p>
        </w:tc>
        <w:tc>
          <w:tcPr>
            <w:tcW w:w="6126" w:type="dxa"/>
            <w:vAlign w:val="center"/>
          </w:tcPr>
          <w:p w14:paraId="5E1B98FF">
            <w:pPr>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有下列情形之一的，采购人将重新竞价：</w:t>
            </w:r>
          </w:p>
          <w:p w14:paraId="46200090">
            <w:pPr>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（1）响应截止时间止，响应人少于3个的；</w:t>
            </w:r>
          </w:p>
          <w:p w14:paraId="5DBE4796">
            <w:pPr>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（2）采购代理机构审查后否决所有响应文件的；</w:t>
            </w:r>
          </w:p>
          <w:p w14:paraId="34E371DD">
            <w:pPr>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（3）中选人无正当理由拒签合同的，或者中选人放弃中选或因不可抗力不能履行合同，或者被查实存在影响中选结果的违法行为等情形，中选人不符合中选条件的；</w:t>
            </w:r>
          </w:p>
          <w:p w14:paraId="6CBD205C">
            <w:pPr>
              <w:wordWrap w:val="0"/>
              <w:adjustRightInd w:val="0"/>
              <w:snapToGrid w:val="0"/>
              <w:rPr>
                <w:rFonts w:hint="eastAsia" w:ascii="宋体" w:hAnsi="宋体" w:eastAsia="宋体" w:cs="宋体"/>
                <w:b w:val="0"/>
                <w:bCs/>
                <w:color w:val="auto"/>
                <w:sz w:val="21"/>
                <w:lang w:val="en-US" w:eastAsia="zh-CN"/>
              </w:rPr>
            </w:pPr>
            <w:r>
              <w:rPr>
                <w:rFonts w:hint="eastAsia" w:ascii="宋体" w:hAnsi="宋体" w:eastAsia="宋体" w:cs="宋体"/>
                <w:b w:val="0"/>
                <w:bCs/>
                <w:color w:val="auto"/>
                <w:sz w:val="21"/>
                <w:lang w:eastAsia="zh-CN"/>
              </w:rPr>
              <w:t>（4）法律规定的其他情形。</w:t>
            </w:r>
          </w:p>
        </w:tc>
      </w:tr>
      <w:tr w14:paraId="72CA7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4B5C5741">
            <w:pPr>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w:t>
            </w:r>
            <w:r>
              <w:rPr>
                <w:rFonts w:hint="eastAsia" w:ascii="宋体" w:hAnsi="宋体" w:eastAsia="宋体" w:cs="宋体"/>
                <w:b w:val="0"/>
                <w:bCs/>
                <w:color w:val="auto"/>
                <w:sz w:val="21"/>
                <w:lang w:val="en-US" w:eastAsia="zh-CN"/>
              </w:rPr>
              <w:t>7</w:t>
            </w:r>
          </w:p>
        </w:tc>
        <w:tc>
          <w:tcPr>
            <w:tcW w:w="1658" w:type="dxa"/>
            <w:vAlign w:val="center"/>
          </w:tcPr>
          <w:p w14:paraId="7EF21AF3">
            <w:pPr>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rPr>
              <w:t>其他</w:t>
            </w:r>
          </w:p>
        </w:tc>
        <w:tc>
          <w:tcPr>
            <w:tcW w:w="6126" w:type="dxa"/>
            <w:vAlign w:val="center"/>
          </w:tcPr>
          <w:p w14:paraId="37F53E7D">
            <w:pPr>
              <w:wordWrap w:val="0"/>
              <w:adjustRightInd w:val="0"/>
              <w:snapToGrid w:val="0"/>
              <w:spacing w:before="0" w:after="0"/>
              <w:rPr>
                <w:rFonts w:hint="eastAsia" w:ascii="宋体" w:hAnsi="宋体" w:eastAsia="宋体" w:cs="宋体"/>
                <w:b w:val="0"/>
                <w:bCs/>
                <w:color w:val="auto"/>
                <w:sz w:val="21"/>
                <w:szCs w:val="24"/>
                <w:lang w:eastAsia="zh-CN"/>
              </w:rPr>
            </w:pPr>
            <w:r>
              <w:rPr>
                <w:rFonts w:hint="eastAsia" w:ascii="宋体" w:hAnsi="宋体" w:eastAsia="宋体" w:cs="宋体"/>
                <w:b w:val="0"/>
                <w:bCs/>
                <w:color w:val="auto"/>
                <w:sz w:val="21"/>
                <w:szCs w:val="24"/>
                <w:lang w:eastAsia="zh-CN"/>
              </w:rPr>
              <w:t>本竞价文件的解释权归广东路通达建设工程有限公司、</w:t>
            </w:r>
            <w:r>
              <w:rPr>
                <w:rFonts w:hint="eastAsia" w:ascii="宋体" w:hAnsi="宋体" w:cs="宋体"/>
                <w:b w:val="0"/>
                <w:bCs/>
                <w:color w:val="auto"/>
                <w:sz w:val="21"/>
                <w:szCs w:val="24"/>
                <w:lang w:eastAsia="zh-CN"/>
              </w:rPr>
              <w:t>惠州市天逸咨询有限公司</w:t>
            </w:r>
            <w:r>
              <w:rPr>
                <w:rFonts w:hint="eastAsia" w:ascii="宋体" w:hAnsi="宋体" w:eastAsia="宋体" w:cs="宋体"/>
                <w:b w:val="0"/>
                <w:bCs/>
                <w:color w:val="auto"/>
                <w:sz w:val="21"/>
                <w:lang w:eastAsia="zh-CN"/>
              </w:rPr>
              <w:t>。</w:t>
            </w:r>
          </w:p>
        </w:tc>
      </w:tr>
    </w:tbl>
    <w:p w14:paraId="5E3CA815">
      <w:pPr>
        <w:rPr>
          <w:rFonts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br w:type="page"/>
      </w:r>
    </w:p>
    <w:p w14:paraId="38C62752">
      <w:pPr>
        <w:autoSpaceDE w:val="0"/>
        <w:autoSpaceDN w:val="0"/>
        <w:adjustRightInd w:val="0"/>
        <w:spacing w:line="700" w:lineRule="exact"/>
        <w:jc w:val="both"/>
        <w:rPr>
          <w:rFonts w:hint="eastAsia" w:ascii="宋体" w:hAnsi="宋体" w:eastAsia="宋体" w:cs="宋体"/>
          <w:b w:val="0"/>
          <w:bCs/>
          <w:color w:val="auto"/>
          <w:sz w:val="44"/>
          <w:szCs w:val="44"/>
          <w:lang w:eastAsia="zh-CN"/>
        </w:rPr>
      </w:pPr>
      <w:r>
        <w:rPr>
          <w:rFonts w:hint="eastAsia" w:ascii="宋体" w:hAnsi="宋体" w:eastAsia="宋体" w:cs="宋体"/>
          <w:b w:val="0"/>
          <w:bCs/>
          <w:color w:val="auto"/>
          <w:sz w:val="28"/>
          <w:szCs w:val="28"/>
          <w:lang w:eastAsia="zh-CN"/>
        </w:rPr>
        <w:t>附表一：</w:t>
      </w:r>
    </w:p>
    <w:p w14:paraId="70F76C06">
      <w:pPr>
        <w:autoSpaceDE w:val="0"/>
        <w:autoSpaceDN w:val="0"/>
        <w:adjustRightInd w:val="0"/>
        <w:spacing w:line="700" w:lineRule="exact"/>
        <w:jc w:val="center"/>
        <w:rPr>
          <w:rFonts w:hint="eastAsia" w:ascii="宋体" w:hAnsi="宋体" w:eastAsia="宋体" w:cs="宋体"/>
          <w:b w:val="0"/>
          <w:bCs/>
          <w:color w:val="auto"/>
          <w:sz w:val="44"/>
          <w:szCs w:val="44"/>
          <w:lang w:eastAsia="zh-CN"/>
        </w:rPr>
      </w:pPr>
      <w:r>
        <w:rPr>
          <w:rFonts w:hint="eastAsia" w:ascii="宋体" w:hAnsi="宋体" w:eastAsia="宋体" w:cs="宋体"/>
          <w:b w:val="0"/>
          <w:bCs/>
          <w:color w:val="auto"/>
          <w:sz w:val="32"/>
          <w:szCs w:val="32"/>
          <w:lang w:eastAsia="zh-CN"/>
        </w:rPr>
        <w:t>响应文件开启记录表</w:t>
      </w:r>
    </w:p>
    <w:p w14:paraId="2E7817B4">
      <w:pPr>
        <w:spacing w:line="360" w:lineRule="auto"/>
        <w:jc w:val="both"/>
        <w:rPr>
          <w:rFonts w:hint="eastAsia" w:ascii="宋体" w:hAnsi="宋体" w:eastAsia="宋体" w:cs="宋体"/>
          <w:b w:val="0"/>
          <w:bCs/>
          <w:color w:val="auto"/>
          <w:sz w:val="21"/>
          <w:szCs w:val="21"/>
          <w:lang w:eastAsia="zh-CN"/>
        </w:rPr>
      </w:pPr>
    </w:p>
    <w:p w14:paraId="612BB65F">
      <w:pPr>
        <w:spacing w:line="360" w:lineRule="auto"/>
        <w:jc w:val="both"/>
        <w:rPr>
          <w:rFonts w:hint="eastAsia" w:ascii="宋体" w:hAnsi="宋体" w:eastAsia="宋体" w:cs="宋体"/>
          <w:b w:val="0"/>
          <w:bCs/>
          <w:color w:val="auto"/>
          <w:sz w:val="21"/>
          <w:szCs w:val="21"/>
          <w:u w:val="single"/>
          <w:lang w:eastAsia="zh-CN"/>
        </w:rPr>
      </w:pPr>
      <w:r>
        <w:rPr>
          <w:rFonts w:hint="eastAsia" w:ascii="宋体" w:hAnsi="宋体" w:eastAsia="宋体" w:cs="宋体"/>
          <w:b w:val="0"/>
          <w:bCs/>
          <w:color w:val="auto"/>
          <w:sz w:val="21"/>
          <w:szCs w:val="21"/>
          <w:lang w:eastAsia="zh-CN"/>
        </w:rPr>
        <w:t>项目名</w:t>
      </w:r>
      <w:r>
        <w:rPr>
          <w:rFonts w:hint="eastAsia" w:ascii="宋体" w:hAnsi="宋体" w:eastAsia="宋体" w:cs="宋体"/>
          <w:b w:val="0"/>
          <w:bCs/>
          <w:color w:val="auto"/>
          <w:sz w:val="21"/>
          <w:szCs w:val="21"/>
          <w:u w:val="none"/>
          <w:lang w:eastAsia="zh-CN"/>
        </w:rPr>
        <w:t>称：</w:t>
      </w:r>
      <w:r>
        <w:rPr>
          <w:rFonts w:hint="eastAsia" w:ascii="宋体" w:hAnsi="宋体" w:cs="宋体"/>
          <w:color w:val="auto"/>
          <w:sz w:val="21"/>
          <w:u w:val="none"/>
          <w:lang w:val="en-US" w:eastAsia="zh-CN"/>
        </w:rPr>
        <w:t>广东省惠州市惠东县城三联生活污水处理厂及蕉田至三联片区配套管网建设工程项目施工编号（25-2）土方机械及材料租赁</w:t>
      </w:r>
    </w:p>
    <w:tbl>
      <w:tblPr>
        <w:tblStyle w:val="9"/>
        <w:tblW w:w="911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40"/>
        <w:gridCol w:w="2114"/>
        <w:gridCol w:w="912"/>
        <w:gridCol w:w="970"/>
        <w:gridCol w:w="1618"/>
        <w:gridCol w:w="1684"/>
        <w:gridCol w:w="1272"/>
      </w:tblGrid>
      <w:tr w14:paraId="789AB5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540" w:type="dxa"/>
            <w:tcBorders>
              <w:top w:val="single" w:color="auto" w:sz="4" w:space="0"/>
              <w:left w:val="single" w:color="auto" w:sz="4" w:space="0"/>
            </w:tcBorders>
            <w:vAlign w:val="center"/>
          </w:tcPr>
          <w:p w14:paraId="2AA61644">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序号</w:t>
            </w:r>
          </w:p>
        </w:tc>
        <w:tc>
          <w:tcPr>
            <w:tcW w:w="2114" w:type="dxa"/>
            <w:tcBorders>
              <w:top w:val="single" w:color="auto" w:sz="4" w:space="0"/>
            </w:tcBorders>
            <w:vAlign w:val="center"/>
          </w:tcPr>
          <w:p w14:paraId="3FFF047D">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lang w:val="en-US" w:eastAsia="zh-CN"/>
              </w:rPr>
              <w:t>响应</w:t>
            </w:r>
            <w:r>
              <w:rPr>
                <w:rFonts w:hint="eastAsia" w:ascii="宋体" w:hAnsi="宋体" w:eastAsia="宋体" w:cs="宋体"/>
                <w:b w:val="0"/>
                <w:bCs/>
                <w:color w:val="auto"/>
                <w:sz w:val="21"/>
                <w:szCs w:val="21"/>
                <w:lang w:eastAsia="zh-CN"/>
              </w:rPr>
              <w:t>人</w:t>
            </w:r>
          </w:p>
        </w:tc>
        <w:tc>
          <w:tcPr>
            <w:tcW w:w="912" w:type="dxa"/>
            <w:tcBorders>
              <w:top w:val="single" w:color="auto" w:sz="4" w:space="0"/>
            </w:tcBorders>
            <w:vAlign w:val="center"/>
          </w:tcPr>
          <w:p w14:paraId="7F3F5EDF">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送达情况</w:t>
            </w:r>
          </w:p>
        </w:tc>
        <w:tc>
          <w:tcPr>
            <w:tcW w:w="970" w:type="dxa"/>
            <w:tcBorders>
              <w:top w:val="single" w:color="auto" w:sz="4" w:space="0"/>
            </w:tcBorders>
            <w:vAlign w:val="center"/>
          </w:tcPr>
          <w:p w14:paraId="5E087875">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密封情况</w:t>
            </w:r>
          </w:p>
        </w:tc>
        <w:tc>
          <w:tcPr>
            <w:tcW w:w="1618" w:type="dxa"/>
            <w:tcBorders>
              <w:top w:val="single" w:color="auto" w:sz="4" w:space="0"/>
            </w:tcBorders>
            <w:vAlign w:val="center"/>
          </w:tcPr>
          <w:p w14:paraId="2B8BD81F">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lang w:eastAsia="zh-CN"/>
              </w:rPr>
              <w:t>响应</w:t>
            </w:r>
            <w:r>
              <w:rPr>
                <w:rFonts w:hint="eastAsia" w:ascii="宋体" w:hAnsi="宋体" w:eastAsia="宋体" w:cs="宋体"/>
                <w:b w:val="0"/>
                <w:bCs/>
                <w:color w:val="auto"/>
                <w:sz w:val="21"/>
                <w:szCs w:val="21"/>
              </w:rPr>
              <w:t>报价</w:t>
            </w:r>
          </w:p>
          <w:p w14:paraId="6AA1CBE7">
            <w:pPr>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(元）</w:t>
            </w:r>
          </w:p>
        </w:tc>
        <w:tc>
          <w:tcPr>
            <w:tcW w:w="1684" w:type="dxa"/>
            <w:tcBorders>
              <w:top w:val="single" w:color="auto" w:sz="4" w:space="0"/>
            </w:tcBorders>
            <w:vAlign w:val="center"/>
          </w:tcPr>
          <w:p w14:paraId="42600E1E">
            <w:pPr>
              <w:jc w:val="center"/>
              <w:rPr>
                <w:rFonts w:hint="eastAsia" w:ascii="宋体" w:hAnsi="宋体" w:eastAsia="宋体" w:cs="宋体"/>
                <w:b w:val="0"/>
                <w:bCs/>
                <w:color w:val="auto"/>
                <w:sz w:val="21"/>
                <w:szCs w:val="21"/>
                <w:lang w:eastAsia="zh-CN"/>
              </w:rPr>
            </w:pPr>
            <w:r>
              <w:rPr>
                <w:rFonts w:hint="eastAsia" w:ascii="宋体" w:hAnsi="宋体" w:cs="宋体"/>
                <w:color w:val="auto"/>
                <w:kern w:val="0"/>
                <w:sz w:val="21"/>
                <w:szCs w:val="21"/>
                <w:lang w:eastAsia="zh-CN"/>
              </w:rPr>
              <w:t>联系人</w:t>
            </w:r>
          </w:p>
        </w:tc>
        <w:tc>
          <w:tcPr>
            <w:tcW w:w="1272" w:type="dxa"/>
            <w:tcBorders>
              <w:top w:val="single" w:color="auto" w:sz="4" w:space="0"/>
              <w:right w:val="single" w:color="auto" w:sz="4" w:space="0"/>
            </w:tcBorders>
            <w:vAlign w:val="center"/>
          </w:tcPr>
          <w:p w14:paraId="436B674C">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电话</w:t>
            </w:r>
          </w:p>
        </w:tc>
      </w:tr>
      <w:tr w14:paraId="6D30AB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540" w:type="dxa"/>
            <w:tcBorders>
              <w:left w:val="single" w:color="auto" w:sz="4" w:space="0"/>
            </w:tcBorders>
            <w:vAlign w:val="center"/>
          </w:tcPr>
          <w:p w14:paraId="0829AF5D">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w:t>
            </w:r>
          </w:p>
        </w:tc>
        <w:tc>
          <w:tcPr>
            <w:tcW w:w="2114" w:type="dxa"/>
            <w:vAlign w:val="center"/>
          </w:tcPr>
          <w:p w14:paraId="6A51EE93">
            <w:pPr>
              <w:jc w:val="center"/>
              <w:rPr>
                <w:rFonts w:hint="eastAsia" w:ascii="宋体" w:hAnsi="宋体" w:eastAsia="宋体" w:cs="宋体"/>
                <w:b w:val="0"/>
                <w:bCs/>
                <w:color w:val="auto"/>
                <w:sz w:val="21"/>
                <w:szCs w:val="21"/>
              </w:rPr>
            </w:pPr>
          </w:p>
        </w:tc>
        <w:tc>
          <w:tcPr>
            <w:tcW w:w="912" w:type="dxa"/>
            <w:vAlign w:val="center"/>
          </w:tcPr>
          <w:p w14:paraId="726ECFAD">
            <w:pPr>
              <w:jc w:val="center"/>
              <w:rPr>
                <w:rFonts w:hint="eastAsia" w:ascii="宋体" w:hAnsi="宋体" w:eastAsia="宋体" w:cs="宋体"/>
                <w:b w:val="0"/>
                <w:bCs/>
                <w:color w:val="auto"/>
                <w:sz w:val="21"/>
                <w:szCs w:val="21"/>
              </w:rPr>
            </w:pPr>
          </w:p>
        </w:tc>
        <w:tc>
          <w:tcPr>
            <w:tcW w:w="970" w:type="dxa"/>
            <w:vAlign w:val="center"/>
          </w:tcPr>
          <w:p w14:paraId="24AA21B0">
            <w:pPr>
              <w:jc w:val="center"/>
              <w:rPr>
                <w:rFonts w:hint="eastAsia" w:ascii="宋体" w:hAnsi="宋体" w:eastAsia="宋体" w:cs="宋体"/>
                <w:b w:val="0"/>
                <w:bCs/>
                <w:color w:val="auto"/>
                <w:sz w:val="21"/>
                <w:szCs w:val="21"/>
              </w:rPr>
            </w:pPr>
          </w:p>
        </w:tc>
        <w:tc>
          <w:tcPr>
            <w:tcW w:w="1618" w:type="dxa"/>
            <w:vAlign w:val="center"/>
          </w:tcPr>
          <w:p w14:paraId="6DE2D50F">
            <w:pPr>
              <w:jc w:val="center"/>
              <w:rPr>
                <w:rFonts w:hint="eastAsia" w:ascii="宋体" w:hAnsi="宋体" w:eastAsia="宋体" w:cs="宋体"/>
                <w:b w:val="0"/>
                <w:bCs/>
                <w:color w:val="auto"/>
                <w:sz w:val="21"/>
                <w:szCs w:val="21"/>
              </w:rPr>
            </w:pPr>
          </w:p>
        </w:tc>
        <w:tc>
          <w:tcPr>
            <w:tcW w:w="1684" w:type="dxa"/>
            <w:vAlign w:val="center"/>
          </w:tcPr>
          <w:p w14:paraId="27A832F9">
            <w:pPr>
              <w:jc w:val="center"/>
              <w:rPr>
                <w:rFonts w:hint="eastAsia" w:ascii="宋体" w:hAnsi="宋体" w:eastAsia="宋体" w:cs="宋体"/>
                <w:b w:val="0"/>
                <w:bCs/>
                <w:color w:val="auto"/>
                <w:sz w:val="21"/>
                <w:szCs w:val="21"/>
              </w:rPr>
            </w:pPr>
          </w:p>
        </w:tc>
        <w:tc>
          <w:tcPr>
            <w:tcW w:w="1272" w:type="dxa"/>
            <w:tcBorders>
              <w:right w:val="single" w:color="auto" w:sz="4" w:space="0"/>
            </w:tcBorders>
          </w:tcPr>
          <w:p w14:paraId="2CF31C7E">
            <w:pPr>
              <w:jc w:val="center"/>
              <w:rPr>
                <w:rFonts w:hint="eastAsia" w:ascii="宋体" w:hAnsi="宋体" w:eastAsia="宋体" w:cs="宋体"/>
                <w:b w:val="0"/>
                <w:bCs/>
                <w:color w:val="auto"/>
                <w:sz w:val="21"/>
                <w:szCs w:val="21"/>
              </w:rPr>
            </w:pPr>
          </w:p>
        </w:tc>
      </w:tr>
      <w:tr w14:paraId="5D106A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540" w:type="dxa"/>
            <w:tcBorders>
              <w:left w:val="single" w:color="auto" w:sz="4" w:space="0"/>
            </w:tcBorders>
            <w:vAlign w:val="center"/>
          </w:tcPr>
          <w:p w14:paraId="44C2D055">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w:t>
            </w:r>
          </w:p>
        </w:tc>
        <w:tc>
          <w:tcPr>
            <w:tcW w:w="2114" w:type="dxa"/>
            <w:vAlign w:val="center"/>
          </w:tcPr>
          <w:p w14:paraId="58E93F00">
            <w:pPr>
              <w:jc w:val="center"/>
              <w:rPr>
                <w:rFonts w:hint="eastAsia" w:ascii="宋体" w:hAnsi="宋体" w:eastAsia="宋体" w:cs="宋体"/>
                <w:b w:val="0"/>
                <w:bCs/>
                <w:color w:val="auto"/>
                <w:sz w:val="21"/>
                <w:szCs w:val="21"/>
              </w:rPr>
            </w:pPr>
          </w:p>
        </w:tc>
        <w:tc>
          <w:tcPr>
            <w:tcW w:w="912" w:type="dxa"/>
            <w:vAlign w:val="center"/>
          </w:tcPr>
          <w:p w14:paraId="3B4F9B09">
            <w:pPr>
              <w:jc w:val="center"/>
              <w:rPr>
                <w:rFonts w:hint="eastAsia" w:ascii="宋体" w:hAnsi="宋体" w:eastAsia="宋体" w:cs="宋体"/>
                <w:b w:val="0"/>
                <w:bCs/>
                <w:color w:val="auto"/>
                <w:sz w:val="21"/>
                <w:szCs w:val="21"/>
              </w:rPr>
            </w:pPr>
          </w:p>
        </w:tc>
        <w:tc>
          <w:tcPr>
            <w:tcW w:w="970" w:type="dxa"/>
            <w:vAlign w:val="center"/>
          </w:tcPr>
          <w:p w14:paraId="73B1C147">
            <w:pPr>
              <w:jc w:val="center"/>
              <w:rPr>
                <w:rFonts w:hint="eastAsia" w:ascii="宋体" w:hAnsi="宋体" w:eastAsia="宋体" w:cs="宋体"/>
                <w:b w:val="0"/>
                <w:bCs/>
                <w:color w:val="auto"/>
                <w:sz w:val="21"/>
                <w:szCs w:val="21"/>
              </w:rPr>
            </w:pPr>
          </w:p>
        </w:tc>
        <w:tc>
          <w:tcPr>
            <w:tcW w:w="1618" w:type="dxa"/>
            <w:vAlign w:val="center"/>
          </w:tcPr>
          <w:p w14:paraId="3592BE65">
            <w:pPr>
              <w:jc w:val="center"/>
              <w:rPr>
                <w:rFonts w:hint="eastAsia" w:ascii="宋体" w:hAnsi="宋体" w:eastAsia="宋体" w:cs="宋体"/>
                <w:b w:val="0"/>
                <w:bCs/>
                <w:color w:val="auto"/>
                <w:sz w:val="21"/>
                <w:szCs w:val="21"/>
              </w:rPr>
            </w:pPr>
          </w:p>
        </w:tc>
        <w:tc>
          <w:tcPr>
            <w:tcW w:w="1684" w:type="dxa"/>
            <w:vAlign w:val="center"/>
          </w:tcPr>
          <w:p w14:paraId="0D4924AF">
            <w:pPr>
              <w:jc w:val="center"/>
              <w:rPr>
                <w:rFonts w:hint="eastAsia" w:ascii="宋体" w:hAnsi="宋体" w:eastAsia="宋体" w:cs="宋体"/>
                <w:b w:val="0"/>
                <w:bCs/>
                <w:color w:val="auto"/>
                <w:sz w:val="21"/>
                <w:szCs w:val="21"/>
              </w:rPr>
            </w:pPr>
          </w:p>
        </w:tc>
        <w:tc>
          <w:tcPr>
            <w:tcW w:w="1272" w:type="dxa"/>
            <w:tcBorders>
              <w:right w:val="single" w:color="auto" w:sz="4" w:space="0"/>
            </w:tcBorders>
          </w:tcPr>
          <w:p w14:paraId="79E88F7C">
            <w:pPr>
              <w:jc w:val="center"/>
              <w:rPr>
                <w:rFonts w:hint="eastAsia" w:ascii="宋体" w:hAnsi="宋体" w:eastAsia="宋体" w:cs="宋体"/>
                <w:b w:val="0"/>
                <w:bCs/>
                <w:color w:val="auto"/>
                <w:sz w:val="21"/>
                <w:szCs w:val="21"/>
              </w:rPr>
            </w:pPr>
          </w:p>
        </w:tc>
      </w:tr>
      <w:tr w14:paraId="612E6B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540" w:type="dxa"/>
            <w:tcBorders>
              <w:left w:val="single" w:color="auto" w:sz="4" w:space="0"/>
            </w:tcBorders>
            <w:vAlign w:val="center"/>
          </w:tcPr>
          <w:p w14:paraId="687EE5C5">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3</w:t>
            </w:r>
          </w:p>
        </w:tc>
        <w:tc>
          <w:tcPr>
            <w:tcW w:w="2114" w:type="dxa"/>
            <w:vAlign w:val="center"/>
          </w:tcPr>
          <w:p w14:paraId="24A029BF">
            <w:pPr>
              <w:jc w:val="center"/>
              <w:rPr>
                <w:rFonts w:hint="eastAsia" w:ascii="宋体" w:hAnsi="宋体" w:eastAsia="宋体" w:cs="宋体"/>
                <w:b w:val="0"/>
                <w:bCs/>
                <w:color w:val="auto"/>
                <w:sz w:val="21"/>
                <w:szCs w:val="21"/>
              </w:rPr>
            </w:pPr>
          </w:p>
        </w:tc>
        <w:tc>
          <w:tcPr>
            <w:tcW w:w="912" w:type="dxa"/>
            <w:vAlign w:val="center"/>
          </w:tcPr>
          <w:p w14:paraId="03D1644F">
            <w:pPr>
              <w:jc w:val="center"/>
              <w:rPr>
                <w:rFonts w:hint="eastAsia" w:ascii="宋体" w:hAnsi="宋体" w:eastAsia="宋体" w:cs="宋体"/>
                <w:b w:val="0"/>
                <w:bCs/>
                <w:color w:val="auto"/>
                <w:sz w:val="21"/>
                <w:szCs w:val="21"/>
              </w:rPr>
            </w:pPr>
          </w:p>
        </w:tc>
        <w:tc>
          <w:tcPr>
            <w:tcW w:w="970" w:type="dxa"/>
            <w:vAlign w:val="center"/>
          </w:tcPr>
          <w:p w14:paraId="594F784A">
            <w:pPr>
              <w:jc w:val="center"/>
              <w:rPr>
                <w:rFonts w:hint="eastAsia" w:ascii="宋体" w:hAnsi="宋体" w:eastAsia="宋体" w:cs="宋体"/>
                <w:b w:val="0"/>
                <w:bCs/>
                <w:color w:val="auto"/>
                <w:sz w:val="21"/>
                <w:szCs w:val="21"/>
              </w:rPr>
            </w:pPr>
          </w:p>
        </w:tc>
        <w:tc>
          <w:tcPr>
            <w:tcW w:w="1618" w:type="dxa"/>
            <w:vAlign w:val="center"/>
          </w:tcPr>
          <w:p w14:paraId="7B8845B4">
            <w:pPr>
              <w:jc w:val="center"/>
              <w:rPr>
                <w:rFonts w:hint="eastAsia" w:ascii="宋体" w:hAnsi="宋体" w:eastAsia="宋体" w:cs="宋体"/>
                <w:b w:val="0"/>
                <w:bCs/>
                <w:color w:val="auto"/>
                <w:sz w:val="21"/>
                <w:szCs w:val="21"/>
              </w:rPr>
            </w:pPr>
          </w:p>
        </w:tc>
        <w:tc>
          <w:tcPr>
            <w:tcW w:w="1684" w:type="dxa"/>
            <w:vAlign w:val="center"/>
          </w:tcPr>
          <w:p w14:paraId="62F67158">
            <w:pPr>
              <w:jc w:val="center"/>
              <w:rPr>
                <w:rFonts w:hint="eastAsia" w:ascii="宋体" w:hAnsi="宋体" w:eastAsia="宋体" w:cs="宋体"/>
                <w:b w:val="0"/>
                <w:bCs/>
                <w:color w:val="auto"/>
                <w:sz w:val="21"/>
                <w:szCs w:val="21"/>
              </w:rPr>
            </w:pPr>
          </w:p>
        </w:tc>
        <w:tc>
          <w:tcPr>
            <w:tcW w:w="1272" w:type="dxa"/>
            <w:tcBorders>
              <w:right w:val="single" w:color="auto" w:sz="4" w:space="0"/>
            </w:tcBorders>
          </w:tcPr>
          <w:p w14:paraId="143E2F4B">
            <w:pPr>
              <w:jc w:val="center"/>
              <w:rPr>
                <w:rFonts w:hint="eastAsia" w:ascii="宋体" w:hAnsi="宋体" w:eastAsia="宋体" w:cs="宋体"/>
                <w:b w:val="0"/>
                <w:bCs/>
                <w:color w:val="auto"/>
                <w:sz w:val="21"/>
                <w:szCs w:val="21"/>
              </w:rPr>
            </w:pPr>
          </w:p>
        </w:tc>
      </w:tr>
      <w:tr w14:paraId="703C42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2" w:hRule="atLeast"/>
          <w:jc w:val="center"/>
        </w:trPr>
        <w:tc>
          <w:tcPr>
            <w:tcW w:w="540" w:type="dxa"/>
            <w:tcBorders>
              <w:left w:val="single" w:color="auto" w:sz="4" w:space="0"/>
            </w:tcBorders>
            <w:vAlign w:val="center"/>
          </w:tcPr>
          <w:p w14:paraId="183A4FE3">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w:t>
            </w:r>
          </w:p>
        </w:tc>
        <w:tc>
          <w:tcPr>
            <w:tcW w:w="2114" w:type="dxa"/>
            <w:vAlign w:val="center"/>
          </w:tcPr>
          <w:p w14:paraId="6B822868">
            <w:pPr>
              <w:jc w:val="center"/>
              <w:rPr>
                <w:rFonts w:hint="eastAsia" w:ascii="宋体" w:hAnsi="宋体" w:eastAsia="宋体" w:cs="宋体"/>
                <w:b w:val="0"/>
                <w:bCs/>
                <w:color w:val="auto"/>
                <w:sz w:val="21"/>
                <w:szCs w:val="21"/>
              </w:rPr>
            </w:pPr>
          </w:p>
        </w:tc>
        <w:tc>
          <w:tcPr>
            <w:tcW w:w="912" w:type="dxa"/>
            <w:vAlign w:val="center"/>
          </w:tcPr>
          <w:p w14:paraId="34C833E6">
            <w:pPr>
              <w:jc w:val="center"/>
              <w:rPr>
                <w:rFonts w:hint="eastAsia" w:ascii="宋体" w:hAnsi="宋体" w:eastAsia="宋体" w:cs="宋体"/>
                <w:b w:val="0"/>
                <w:bCs/>
                <w:color w:val="auto"/>
                <w:sz w:val="21"/>
                <w:szCs w:val="21"/>
              </w:rPr>
            </w:pPr>
          </w:p>
        </w:tc>
        <w:tc>
          <w:tcPr>
            <w:tcW w:w="970" w:type="dxa"/>
            <w:vAlign w:val="center"/>
          </w:tcPr>
          <w:p w14:paraId="654C9EDE">
            <w:pPr>
              <w:jc w:val="center"/>
              <w:rPr>
                <w:rFonts w:hint="eastAsia" w:ascii="宋体" w:hAnsi="宋体" w:eastAsia="宋体" w:cs="宋体"/>
                <w:b w:val="0"/>
                <w:bCs/>
                <w:color w:val="auto"/>
                <w:sz w:val="21"/>
                <w:szCs w:val="21"/>
              </w:rPr>
            </w:pPr>
          </w:p>
        </w:tc>
        <w:tc>
          <w:tcPr>
            <w:tcW w:w="1618" w:type="dxa"/>
            <w:vAlign w:val="center"/>
          </w:tcPr>
          <w:p w14:paraId="23889BD7">
            <w:pPr>
              <w:jc w:val="center"/>
              <w:rPr>
                <w:rFonts w:hint="eastAsia" w:ascii="宋体" w:hAnsi="宋体" w:eastAsia="宋体" w:cs="宋体"/>
                <w:b w:val="0"/>
                <w:bCs/>
                <w:color w:val="auto"/>
                <w:sz w:val="21"/>
                <w:szCs w:val="21"/>
              </w:rPr>
            </w:pPr>
          </w:p>
        </w:tc>
        <w:tc>
          <w:tcPr>
            <w:tcW w:w="1684" w:type="dxa"/>
            <w:vAlign w:val="center"/>
          </w:tcPr>
          <w:p w14:paraId="5B460DA0">
            <w:pPr>
              <w:jc w:val="center"/>
              <w:rPr>
                <w:rFonts w:hint="eastAsia" w:ascii="宋体" w:hAnsi="宋体" w:eastAsia="宋体" w:cs="宋体"/>
                <w:b w:val="0"/>
                <w:bCs/>
                <w:color w:val="auto"/>
                <w:sz w:val="21"/>
                <w:szCs w:val="21"/>
              </w:rPr>
            </w:pPr>
          </w:p>
        </w:tc>
        <w:tc>
          <w:tcPr>
            <w:tcW w:w="1272" w:type="dxa"/>
            <w:tcBorders>
              <w:right w:val="single" w:color="auto" w:sz="4" w:space="0"/>
            </w:tcBorders>
          </w:tcPr>
          <w:p w14:paraId="34AC2518">
            <w:pPr>
              <w:jc w:val="center"/>
              <w:rPr>
                <w:rFonts w:hint="eastAsia" w:ascii="宋体" w:hAnsi="宋体" w:eastAsia="宋体" w:cs="宋体"/>
                <w:b w:val="0"/>
                <w:bCs/>
                <w:color w:val="auto"/>
                <w:sz w:val="21"/>
                <w:szCs w:val="21"/>
              </w:rPr>
            </w:pPr>
          </w:p>
        </w:tc>
      </w:tr>
      <w:tr w14:paraId="61CAFA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80" w:hRule="atLeast"/>
          <w:jc w:val="center"/>
        </w:trPr>
        <w:tc>
          <w:tcPr>
            <w:tcW w:w="540" w:type="dxa"/>
            <w:tcBorders>
              <w:left w:val="single" w:color="auto" w:sz="4" w:space="0"/>
            </w:tcBorders>
            <w:vAlign w:val="center"/>
          </w:tcPr>
          <w:p w14:paraId="594DAF50">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5</w:t>
            </w:r>
          </w:p>
        </w:tc>
        <w:tc>
          <w:tcPr>
            <w:tcW w:w="2114" w:type="dxa"/>
            <w:vAlign w:val="center"/>
          </w:tcPr>
          <w:p w14:paraId="0FF67DBB">
            <w:pPr>
              <w:jc w:val="center"/>
              <w:rPr>
                <w:rFonts w:hint="eastAsia" w:ascii="宋体" w:hAnsi="宋体" w:eastAsia="宋体" w:cs="宋体"/>
                <w:b w:val="0"/>
                <w:bCs/>
                <w:color w:val="auto"/>
                <w:sz w:val="21"/>
                <w:szCs w:val="21"/>
              </w:rPr>
            </w:pPr>
          </w:p>
        </w:tc>
        <w:tc>
          <w:tcPr>
            <w:tcW w:w="912" w:type="dxa"/>
            <w:vAlign w:val="center"/>
          </w:tcPr>
          <w:p w14:paraId="147E17DE">
            <w:pPr>
              <w:jc w:val="center"/>
              <w:rPr>
                <w:rFonts w:hint="eastAsia" w:ascii="宋体" w:hAnsi="宋体" w:eastAsia="宋体" w:cs="宋体"/>
                <w:b w:val="0"/>
                <w:bCs/>
                <w:color w:val="auto"/>
                <w:sz w:val="21"/>
                <w:szCs w:val="21"/>
              </w:rPr>
            </w:pPr>
          </w:p>
        </w:tc>
        <w:tc>
          <w:tcPr>
            <w:tcW w:w="970" w:type="dxa"/>
            <w:vAlign w:val="center"/>
          </w:tcPr>
          <w:p w14:paraId="493F8460">
            <w:pPr>
              <w:jc w:val="center"/>
              <w:rPr>
                <w:rFonts w:hint="eastAsia" w:ascii="宋体" w:hAnsi="宋体" w:eastAsia="宋体" w:cs="宋体"/>
                <w:b w:val="0"/>
                <w:bCs/>
                <w:color w:val="auto"/>
                <w:sz w:val="21"/>
                <w:szCs w:val="21"/>
              </w:rPr>
            </w:pPr>
          </w:p>
        </w:tc>
        <w:tc>
          <w:tcPr>
            <w:tcW w:w="1618" w:type="dxa"/>
            <w:vAlign w:val="center"/>
          </w:tcPr>
          <w:p w14:paraId="74B95BC6">
            <w:pPr>
              <w:jc w:val="center"/>
              <w:rPr>
                <w:rFonts w:hint="eastAsia" w:ascii="宋体" w:hAnsi="宋体" w:eastAsia="宋体" w:cs="宋体"/>
                <w:b w:val="0"/>
                <w:bCs/>
                <w:color w:val="auto"/>
                <w:sz w:val="21"/>
                <w:szCs w:val="21"/>
              </w:rPr>
            </w:pPr>
          </w:p>
        </w:tc>
        <w:tc>
          <w:tcPr>
            <w:tcW w:w="1684" w:type="dxa"/>
            <w:vAlign w:val="center"/>
          </w:tcPr>
          <w:p w14:paraId="608E0DBF">
            <w:pPr>
              <w:jc w:val="center"/>
              <w:rPr>
                <w:rFonts w:hint="eastAsia" w:ascii="宋体" w:hAnsi="宋体" w:eastAsia="宋体" w:cs="宋体"/>
                <w:b w:val="0"/>
                <w:bCs/>
                <w:color w:val="auto"/>
                <w:sz w:val="21"/>
                <w:szCs w:val="21"/>
              </w:rPr>
            </w:pPr>
          </w:p>
        </w:tc>
        <w:tc>
          <w:tcPr>
            <w:tcW w:w="1272" w:type="dxa"/>
            <w:tcBorders>
              <w:right w:val="single" w:color="auto" w:sz="4" w:space="0"/>
            </w:tcBorders>
          </w:tcPr>
          <w:p w14:paraId="6348F57E">
            <w:pPr>
              <w:jc w:val="center"/>
              <w:rPr>
                <w:rFonts w:hint="eastAsia" w:ascii="宋体" w:hAnsi="宋体" w:eastAsia="宋体" w:cs="宋体"/>
                <w:b w:val="0"/>
                <w:bCs/>
                <w:color w:val="auto"/>
                <w:sz w:val="21"/>
                <w:szCs w:val="21"/>
              </w:rPr>
            </w:pPr>
          </w:p>
        </w:tc>
      </w:tr>
      <w:tr w14:paraId="2342D5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0" w:hRule="atLeast"/>
          <w:jc w:val="center"/>
        </w:trPr>
        <w:tc>
          <w:tcPr>
            <w:tcW w:w="540" w:type="dxa"/>
            <w:tcBorders>
              <w:left w:val="single" w:color="auto" w:sz="4" w:space="0"/>
            </w:tcBorders>
            <w:vAlign w:val="center"/>
          </w:tcPr>
          <w:p w14:paraId="6C99DB5F">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6</w:t>
            </w:r>
          </w:p>
        </w:tc>
        <w:tc>
          <w:tcPr>
            <w:tcW w:w="2114" w:type="dxa"/>
            <w:vAlign w:val="center"/>
          </w:tcPr>
          <w:p w14:paraId="20DF5AA6">
            <w:pPr>
              <w:jc w:val="center"/>
              <w:rPr>
                <w:rFonts w:hint="eastAsia" w:ascii="宋体" w:hAnsi="宋体" w:eastAsia="宋体" w:cs="宋体"/>
                <w:b w:val="0"/>
                <w:bCs/>
                <w:color w:val="auto"/>
                <w:sz w:val="21"/>
                <w:szCs w:val="21"/>
              </w:rPr>
            </w:pPr>
          </w:p>
        </w:tc>
        <w:tc>
          <w:tcPr>
            <w:tcW w:w="912" w:type="dxa"/>
            <w:vAlign w:val="center"/>
          </w:tcPr>
          <w:p w14:paraId="21FD8562">
            <w:pPr>
              <w:jc w:val="center"/>
              <w:rPr>
                <w:rFonts w:hint="eastAsia" w:ascii="宋体" w:hAnsi="宋体" w:eastAsia="宋体" w:cs="宋体"/>
                <w:b w:val="0"/>
                <w:bCs/>
                <w:color w:val="auto"/>
                <w:sz w:val="21"/>
                <w:szCs w:val="21"/>
              </w:rPr>
            </w:pPr>
          </w:p>
        </w:tc>
        <w:tc>
          <w:tcPr>
            <w:tcW w:w="970" w:type="dxa"/>
            <w:vAlign w:val="center"/>
          </w:tcPr>
          <w:p w14:paraId="248C3829">
            <w:pPr>
              <w:jc w:val="center"/>
              <w:rPr>
                <w:rFonts w:hint="eastAsia" w:ascii="宋体" w:hAnsi="宋体" w:eastAsia="宋体" w:cs="宋体"/>
                <w:b w:val="0"/>
                <w:bCs/>
                <w:color w:val="auto"/>
                <w:sz w:val="21"/>
                <w:szCs w:val="21"/>
              </w:rPr>
            </w:pPr>
          </w:p>
        </w:tc>
        <w:tc>
          <w:tcPr>
            <w:tcW w:w="1618" w:type="dxa"/>
            <w:vAlign w:val="center"/>
          </w:tcPr>
          <w:p w14:paraId="4F889CEC">
            <w:pPr>
              <w:jc w:val="center"/>
              <w:rPr>
                <w:rFonts w:hint="eastAsia" w:ascii="宋体" w:hAnsi="宋体" w:eastAsia="宋体" w:cs="宋体"/>
                <w:b w:val="0"/>
                <w:bCs/>
                <w:color w:val="auto"/>
                <w:sz w:val="21"/>
                <w:szCs w:val="21"/>
              </w:rPr>
            </w:pPr>
          </w:p>
        </w:tc>
        <w:tc>
          <w:tcPr>
            <w:tcW w:w="1684" w:type="dxa"/>
            <w:vAlign w:val="center"/>
          </w:tcPr>
          <w:p w14:paraId="0FF4FAB7">
            <w:pPr>
              <w:jc w:val="center"/>
              <w:rPr>
                <w:rFonts w:hint="eastAsia" w:ascii="宋体" w:hAnsi="宋体" w:eastAsia="宋体" w:cs="宋体"/>
                <w:b w:val="0"/>
                <w:bCs/>
                <w:color w:val="auto"/>
                <w:sz w:val="21"/>
                <w:szCs w:val="21"/>
              </w:rPr>
            </w:pPr>
          </w:p>
        </w:tc>
        <w:tc>
          <w:tcPr>
            <w:tcW w:w="1272" w:type="dxa"/>
            <w:tcBorders>
              <w:right w:val="single" w:color="auto" w:sz="4" w:space="0"/>
            </w:tcBorders>
          </w:tcPr>
          <w:p w14:paraId="7529F44C">
            <w:pPr>
              <w:jc w:val="center"/>
              <w:rPr>
                <w:rFonts w:hint="eastAsia" w:ascii="宋体" w:hAnsi="宋体" w:eastAsia="宋体" w:cs="宋体"/>
                <w:b w:val="0"/>
                <w:bCs/>
                <w:color w:val="auto"/>
                <w:sz w:val="21"/>
                <w:szCs w:val="21"/>
              </w:rPr>
            </w:pPr>
          </w:p>
        </w:tc>
      </w:tr>
      <w:tr w14:paraId="154B93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4536" w:type="dxa"/>
            <w:gridSpan w:val="4"/>
            <w:tcBorders>
              <w:left w:val="single" w:color="auto" w:sz="4" w:space="0"/>
              <w:bottom w:val="single" w:color="auto" w:sz="4" w:space="0"/>
            </w:tcBorders>
            <w:vAlign w:val="center"/>
          </w:tcPr>
          <w:p w14:paraId="23C00AB1">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最高</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限价</w:t>
            </w:r>
          </w:p>
        </w:tc>
        <w:tc>
          <w:tcPr>
            <w:tcW w:w="4574" w:type="dxa"/>
            <w:gridSpan w:val="3"/>
            <w:tcBorders>
              <w:bottom w:val="single" w:color="auto" w:sz="4" w:space="0"/>
              <w:right w:val="single" w:color="auto" w:sz="4" w:space="0"/>
            </w:tcBorders>
            <w:vAlign w:val="center"/>
          </w:tcPr>
          <w:p w14:paraId="68E83288">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lang w:eastAsia="zh-CN"/>
              </w:rPr>
              <w:t>元</w:t>
            </w:r>
          </w:p>
        </w:tc>
      </w:tr>
    </w:tbl>
    <w:p w14:paraId="427FCA53">
      <w:pPr>
        <w:ind w:firstLine="420" w:firstLineChars="200"/>
        <w:rPr>
          <w:rFonts w:hint="eastAsia" w:ascii="宋体" w:hAnsi="宋体" w:eastAsia="宋体" w:cs="宋体"/>
          <w:color w:val="auto"/>
          <w:sz w:val="21"/>
          <w:szCs w:val="21"/>
        </w:rPr>
      </w:pPr>
    </w:p>
    <w:p w14:paraId="52CD03D9">
      <w:pP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宣读人：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 xml:space="preserve">  记录人：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 xml:space="preserve">         年   月   日</w:t>
      </w:r>
    </w:p>
    <w:p w14:paraId="7A35E09C">
      <w:pPr>
        <w:rPr>
          <w:rFonts w:hint="eastAsia" w:ascii="宋体" w:hAnsi="宋体" w:eastAsia="宋体" w:cs="宋体"/>
          <w:color w:val="auto"/>
          <w:sz w:val="21"/>
          <w:szCs w:val="21"/>
          <w:lang w:eastAsia="zh-CN"/>
        </w:rPr>
      </w:pPr>
    </w:p>
    <w:p w14:paraId="5A4DF55A">
      <w:pP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监督人：</w:t>
      </w:r>
    </w:p>
    <w:p w14:paraId="43F0C3D3">
      <w:pPr>
        <w:rPr>
          <w:rFonts w:hint="eastAsia" w:ascii="宋体" w:hAnsi="宋体" w:eastAsia="宋体" w:cs="宋体"/>
          <w:color w:val="auto"/>
          <w:lang w:eastAsia="zh-CN"/>
        </w:rPr>
      </w:pPr>
      <w:r>
        <w:rPr>
          <w:rFonts w:hint="eastAsia" w:ascii="宋体" w:hAnsi="宋体" w:eastAsia="宋体" w:cs="宋体"/>
          <w:color w:val="auto"/>
          <w:lang w:eastAsia="zh-CN"/>
        </w:rPr>
        <w:br w:type="page"/>
      </w:r>
    </w:p>
    <w:p w14:paraId="48063947">
      <w:pPr>
        <w:adjustRightInd w:val="0"/>
        <w:snapToGrid w:val="0"/>
        <w:spacing w:line="360" w:lineRule="auto"/>
        <w:outlineLvl w:val="9"/>
        <w:rPr>
          <w:rFonts w:hint="eastAsia" w:ascii="宋体" w:hAnsi="宋体" w:eastAsia="宋体" w:cs="宋体"/>
          <w:b w:val="0"/>
          <w:bCs/>
          <w:color w:val="auto"/>
          <w:lang w:eastAsia="zh-CN"/>
        </w:rPr>
      </w:pPr>
      <w:r>
        <w:rPr>
          <w:rFonts w:hint="eastAsia" w:ascii="宋体" w:hAnsi="宋体" w:eastAsia="宋体" w:cs="宋体"/>
          <w:b w:val="0"/>
          <w:bCs/>
          <w:color w:val="auto"/>
          <w:sz w:val="28"/>
          <w:szCs w:val="28"/>
          <w:lang w:eastAsia="zh-CN"/>
        </w:rPr>
        <w:t>附表二：</w:t>
      </w:r>
    </w:p>
    <w:p w14:paraId="73B2DB4A">
      <w:pPr>
        <w:widowControl w:val="0"/>
        <w:wordWrap w:val="0"/>
        <w:topLinePunct/>
        <w:adjustRightInd w:val="0"/>
        <w:snapToGrid w:val="0"/>
        <w:spacing w:line="360" w:lineRule="auto"/>
        <w:jc w:val="center"/>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中选通知书</w:t>
      </w:r>
    </w:p>
    <w:p w14:paraId="252EC800">
      <w:pPr>
        <w:widowControl w:val="0"/>
        <w:wordWrap w:val="0"/>
        <w:topLinePunct/>
        <w:adjustRightInd w:val="0"/>
        <w:snapToGrid w:val="0"/>
        <w:spacing w:line="360" w:lineRule="auto"/>
        <w:ind w:firstLine="420" w:firstLineChars="200"/>
        <w:rPr>
          <w:rFonts w:hint="eastAsia" w:ascii="宋体" w:hAnsi="宋体" w:eastAsia="宋体" w:cs="宋体"/>
          <w:color w:val="auto"/>
          <w:lang w:eastAsia="zh-CN"/>
        </w:rPr>
      </w:pPr>
    </w:p>
    <w:p w14:paraId="657F2298">
      <w:pPr>
        <w:widowControl w:val="0"/>
        <w:wordWrap w:val="0"/>
        <w:topLinePunct/>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（中选人名称）：</w:t>
      </w:r>
    </w:p>
    <w:p w14:paraId="35F5DD00">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u w:val="single"/>
          <w:lang w:eastAsia="zh-CN"/>
        </w:rPr>
      </w:pPr>
    </w:p>
    <w:p w14:paraId="76EB372B">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你方于</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（响应截止日期前）所递交的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项目名称</w:t>
      </w:r>
      <w:r>
        <w:rPr>
          <w:rFonts w:hint="eastAsia" w:ascii="宋体" w:hAnsi="宋体" w:eastAsia="宋体" w:cs="宋体"/>
          <w:color w:val="auto"/>
          <w:sz w:val="28"/>
          <w:szCs w:val="28"/>
          <w:lang w:eastAsia="zh-CN"/>
        </w:rPr>
        <w:t>）响应文件已被我方接受，被确定为中选人。</w:t>
      </w:r>
    </w:p>
    <w:p w14:paraId="666AF57E">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中选</w:t>
      </w:r>
      <w:r>
        <w:rPr>
          <w:rFonts w:hint="eastAsia" w:ascii="宋体" w:hAnsi="宋体" w:eastAsia="宋体" w:cs="宋体"/>
          <w:color w:val="auto"/>
          <w:sz w:val="28"/>
          <w:szCs w:val="28"/>
          <w:lang w:val="en-US" w:eastAsia="zh-CN"/>
        </w:rPr>
        <w:t>金额</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元。</w:t>
      </w:r>
    </w:p>
    <w:p w14:paraId="78A7646A">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lang w:eastAsia="zh-CN"/>
        </w:rPr>
        <w:t>。</w:t>
      </w:r>
    </w:p>
    <w:p w14:paraId="5444F51C">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请你方在接到本通知书后的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日内到</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与采购人签订合同。</w:t>
      </w:r>
    </w:p>
    <w:p w14:paraId="6A8C634D">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p>
    <w:p w14:paraId="1D54C577">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特此通知。</w:t>
      </w:r>
    </w:p>
    <w:p w14:paraId="6759D3D7">
      <w:pPr>
        <w:widowControl w:val="0"/>
        <w:wordWrap w:val="0"/>
        <w:topLinePunct/>
        <w:adjustRightInd w:val="0"/>
        <w:snapToGrid w:val="0"/>
        <w:spacing w:line="360" w:lineRule="auto"/>
        <w:ind w:firstLine="4317" w:firstLineChars="1542"/>
        <w:jc w:val="left"/>
        <w:rPr>
          <w:rFonts w:hint="eastAsia" w:ascii="宋体" w:hAnsi="宋体" w:eastAsia="宋体" w:cs="宋体"/>
          <w:color w:val="auto"/>
          <w:sz w:val="28"/>
          <w:szCs w:val="28"/>
          <w:lang w:eastAsia="zh-CN"/>
        </w:rPr>
      </w:pPr>
    </w:p>
    <w:p w14:paraId="0A14F451">
      <w:pPr>
        <w:pStyle w:val="19"/>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采购人</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广东路通达建设工程有限公司</w:t>
      </w:r>
    </w:p>
    <w:p w14:paraId="096F0CB8">
      <w:pPr>
        <w:pStyle w:val="19"/>
        <w:framePr w:wrap="auto" w:vAnchor="margin" w:hAnchor="text" w:yAlign="inline"/>
        <w:wordWrap/>
        <w:topLinePunct/>
        <w:adjustRightInd w:val="0"/>
        <w:snapToGrid w:val="0"/>
        <w:spacing w:line="360" w:lineRule="auto"/>
        <w:jc w:val="right"/>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采购代理机构：惠州市天逸咨询有限公司</w:t>
      </w:r>
    </w:p>
    <w:p w14:paraId="71579C00">
      <w:pPr>
        <w:pStyle w:val="19"/>
        <w:framePr w:wrap="auto" w:vAnchor="margin" w:hAnchor="text" w:yAlign="inline"/>
        <w:wordWrap/>
        <w:spacing w:line="440" w:lineRule="exact"/>
        <w:jc w:val="right"/>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76AD5414">
      <w:pPr>
        <w:jc w:val="right"/>
        <w:rPr>
          <w:rFonts w:ascii="宋体" w:hAnsi="宋体" w:eastAsia="宋体" w:cs="宋体"/>
          <w:b/>
          <w:bCs/>
          <w:color w:val="auto"/>
          <w:sz w:val="32"/>
          <w:szCs w:val="32"/>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r>
        <w:rPr>
          <w:rFonts w:hint="eastAsia" w:ascii="宋体" w:hAnsi="宋体" w:eastAsia="宋体" w:cs="宋体"/>
          <w:b/>
          <w:bCs/>
          <w:color w:val="auto"/>
          <w:sz w:val="32"/>
          <w:szCs w:val="32"/>
          <w:lang w:eastAsia="zh-CN"/>
        </w:rPr>
        <w:br w:type="page"/>
      </w:r>
    </w:p>
    <w:p w14:paraId="0E6DD8CD">
      <w:pPr>
        <w:pStyle w:val="19"/>
        <w:framePr w:wrap="auto" w:vAnchor="margin" w:hAnchor="text" w:yAlign="inline"/>
        <w:numPr>
          <w:ilvl w:val="-1"/>
          <w:numId w:val="0"/>
        </w:numPr>
        <w:wordWrap w:val="0"/>
        <w:topLinePunct/>
        <w:adjustRightInd w:val="0"/>
        <w:snapToGrid w:val="0"/>
        <w:spacing w:line="360" w:lineRule="auto"/>
        <w:jc w:val="center"/>
        <w:outlineLvl w:val="0"/>
        <w:rPr>
          <w:rFonts w:ascii="宋体" w:hAnsi="宋体" w:eastAsia="宋体" w:cs="宋体"/>
          <w:b/>
          <w:bCs/>
          <w:color w:val="auto"/>
          <w:sz w:val="32"/>
          <w:szCs w:val="32"/>
        </w:rPr>
      </w:pPr>
      <w:bookmarkStart w:id="13" w:name="_Toc1480"/>
      <w:r>
        <w:rPr>
          <w:rFonts w:ascii="宋体" w:hAnsi="宋体" w:eastAsia="宋体" w:cs="宋体"/>
          <w:b/>
          <w:bCs/>
          <w:color w:val="auto"/>
          <w:sz w:val="32"/>
          <w:szCs w:val="32"/>
        </w:rPr>
        <w:t>第</w:t>
      </w:r>
      <w:r>
        <w:rPr>
          <w:rFonts w:hint="eastAsia" w:ascii="宋体" w:hAnsi="宋体" w:eastAsia="宋体" w:cs="宋体"/>
          <w:b/>
          <w:bCs/>
          <w:color w:val="auto"/>
          <w:sz w:val="32"/>
          <w:szCs w:val="32"/>
          <w:lang w:val="en-US" w:eastAsia="zh-CN"/>
        </w:rPr>
        <w:t>三</w:t>
      </w:r>
      <w:r>
        <w:rPr>
          <w:rFonts w:ascii="宋体" w:hAnsi="宋体" w:eastAsia="宋体" w:cs="宋体"/>
          <w:b/>
          <w:bCs/>
          <w:color w:val="auto"/>
          <w:sz w:val="32"/>
          <w:szCs w:val="32"/>
        </w:rPr>
        <w:t>部分 工程量清单</w:t>
      </w:r>
      <w:bookmarkEnd w:id="13"/>
    </w:p>
    <w:tbl>
      <w:tblPr>
        <w:tblStyle w:val="9"/>
        <w:tblW w:w="934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35"/>
        <w:gridCol w:w="1773"/>
        <w:gridCol w:w="1282"/>
        <w:gridCol w:w="1186"/>
        <w:gridCol w:w="941"/>
        <w:gridCol w:w="1036"/>
        <w:gridCol w:w="1009"/>
        <w:gridCol w:w="1179"/>
      </w:tblGrid>
      <w:tr w14:paraId="68C23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341" w:type="dxa"/>
            <w:gridSpan w:val="8"/>
            <w:vMerge w:val="restart"/>
            <w:tcBorders>
              <w:top w:val="nil"/>
              <w:left w:val="nil"/>
              <w:bottom w:val="nil"/>
              <w:right w:val="nil"/>
            </w:tcBorders>
            <w:shd w:val="clear" w:color="auto" w:fill="auto"/>
            <w:noWrap/>
            <w:vAlign w:val="center"/>
          </w:tcPr>
          <w:p w14:paraId="04E55ADE">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bookmarkStart w:id="14" w:name="_Toc7187"/>
            <w:r>
              <w:rPr>
                <w:rFonts w:hint="eastAsia" w:ascii="宋体" w:hAnsi="宋体" w:eastAsia="宋体" w:cs="宋体"/>
                <w:b/>
                <w:bCs/>
                <w:i w:val="0"/>
                <w:iCs w:val="0"/>
                <w:color w:val="000000"/>
                <w:kern w:val="0"/>
                <w:sz w:val="36"/>
                <w:szCs w:val="36"/>
                <w:u w:val="none"/>
                <w:lang w:val="en-US" w:eastAsia="zh-CN" w:bidi="ar"/>
              </w:rPr>
              <w:t>租赁清单报价表</w:t>
            </w:r>
          </w:p>
        </w:tc>
      </w:tr>
      <w:tr w14:paraId="21DD8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341" w:type="dxa"/>
            <w:gridSpan w:val="8"/>
            <w:vMerge w:val="continue"/>
            <w:tcBorders>
              <w:top w:val="nil"/>
              <w:left w:val="nil"/>
              <w:bottom w:val="nil"/>
              <w:right w:val="nil"/>
            </w:tcBorders>
            <w:shd w:val="clear" w:color="auto" w:fill="auto"/>
            <w:noWrap/>
            <w:vAlign w:val="center"/>
          </w:tcPr>
          <w:p w14:paraId="595C8A00">
            <w:pPr>
              <w:jc w:val="center"/>
              <w:rPr>
                <w:rFonts w:hint="eastAsia" w:ascii="宋体" w:hAnsi="宋体" w:eastAsia="宋体" w:cs="宋体"/>
                <w:b/>
                <w:bCs/>
                <w:i w:val="0"/>
                <w:iCs w:val="0"/>
                <w:color w:val="000000"/>
                <w:sz w:val="40"/>
                <w:szCs w:val="40"/>
                <w:u w:val="none"/>
              </w:rPr>
            </w:pPr>
          </w:p>
        </w:tc>
      </w:tr>
      <w:tr w14:paraId="71B06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9341" w:type="dxa"/>
            <w:gridSpan w:val="8"/>
            <w:tcBorders>
              <w:top w:val="nil"/>
              <w:left w:val="nil"/>
              <w:bottom w:val="nil"/>
              <w:right w:val="nil"/>
            </w:tcBorders>
            <w:shd w:val="clear" w:color="auto" w:fill="auto"/>
            <w:vAlign w:val="center"/>
          </w:tcPr>
          <w:p w14:paraId="4E55E2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工程名称：广东省惠州市惠东县城三联生活污水处理厂及蕉田至三联片区配套管网建设工程项目施工</w:t>
            </w:r>
          </w:p>
        </w:tc>
      </w:tr>
      <w:tr w14:paraId="2A3C2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9341" w:type="dxa"/>
            <w:gridSpan w:val="8"/>
            <w:tcBorders>
              <w:top w:val="nil"/>
              <w:left w:val="nil"/>
              <w:bottom w:val="nil"/>
              <w:right w:val="nil"/>
            </w:tcBorders>
            <w:shd w:val="clear" w:color="auto" w:fill="auto"/>
            <w:noWrap/>
            <w:vAlign w:val="center"/>
          </w:tcPr>
          <w:p w14:paraId="73A9550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发包单位：广东路通达建设工程有限公司</w:t>
            </w:r>
          </w:p>
        </w:tc>
      </w:tr>
      <w:tr w14:paraId="09C98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279B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编号</w:t>
            </w:r>
          </w:p>
        </w:tc>
        <w:tc>
          <w:tcPr>
            <w:tcW w:w="177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484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机械及材料名称</w:t>
            </w:r>
          </w:p>
        </w:tc>
        <w:tc>
          <w:tcPr>
            <w:tcW w:w="12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72B6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型号/规格</w:t>
            </w:r>
          </w:p>
        </w:tc>
        <w:tc>
          <w:tcPr>
            <w:tcW w:w="11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369E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9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88E0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E71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不含税单价</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4FE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金额</w:t>
            </w:r>
          </w:p>
        </w:tc>
        <w:tc>
          <w:tcPr>
            <w:tcW w:w="11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EF97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备注</w:t>
            </w:r>
          </w:p>
        </w:tc>
      </w:tr>
      <w:tr w14:paraId="04FC3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7FE2ED">
            <w:pPr>
              <w:jc w:val="center"/>
              <w:rPr>
                <w:rFonts w:hint="eastAsia" w:ascii="宋体" w:hAnsi="宋体" w:eastAsia="宋体" w:cs="宋体"/>
                <w:i w:val="0"/>
                <w:iCs w:val="0"/>
                <w:color w:val="000000"/>
                <w:sz w:val="20"/>
                <w:szCs w:val="20"/>
                <w:u w:val="none"/>
              </w:rPr>
            </w:pPr>
          </w:p>
        </w:tc>
        <w:tc>
          <w:tcPr>
            <w:tcW w:w="177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98574">
            <w:pPr>
              <w:jc w:val="center"/>
              <w:rPr>
                <w:rFonts w:hint="eastAsia" w:ascii="宋体" w:hAnsi="宋体" w:eastAsia="宋体" w:cs="宋体"/>
                <w:i w:val="0"/>
                <w:iCs w:val="0"/>
                <w:color w:val="000000"/>
                <w:sz w:val="20"/>
                <w:szCs w:val="20"/>
                <w:u w:val="none"/>
              </w:rPr>
            </w:pPr>
          </w:p>
        </w:tc>
        <w:tc>
          <w:tcPr>
            <w:tcW w:w="12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A8F3D7">
            <w:pPr>
              <w:jc w:val="center"/>
              <w:rPr>
                <w:rFonts w:hint="eastAsia" w:ascii="宋体" w:hAnsi="宋体" w:eastAsia="宋体" w:cs="宋体"/>
                <w:i w:val="0"/>
                <w:iCs w:val="0"/>
                <w:color w:val="000000"/>
                <w:sz w:val="20"/>
                <w:szCs w:val="20"/>
                <w:u w:val="none"/>
              </w:rPr>
            </w:pPr>
          </w:p>
        </w:tc>
        <w:tc>
          <w:tcPr>
            <w:tcW w:w="11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F3E907">
            <w:pPr>
              <w:jc w:val="center"/>
              <w:rPr>
                <w:rFonts w:hint="eastAsia" w:ascii="宋体" w:hAnsi="宋体" w:eastAsia="宋体" w:cs="宋体"/>
                <w:i w:val="0"/>
                <w:iCs w:val="0"/>
                <w:color w:val="000000"/>
                <w:sz w:val="20"/>
                <w:szCs w:val="20"/>
                <w:u w:val="none"/>
              </w:rPr>
            </w:pPr>
          </w:p>
        </w:tc>
        <w:tc>
          <w:tcPr>
            <w:tcW w:w="9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F9EABC">
            <w:pPr>
              <w:jc w:val="center"/>
              <w:rPr>
                <w:rFonts w:hint="eastAsia" w:ascii="宋体" w:hAnsi="宋体" w:eastAsia="宋体" w:cs="宋体"/>
                <w:i w:val="0"/>
                <w:iCs w:val="0"/>
                <w:color w:val="000000"/>
                <w:sz w:val="20"/>
                <w:szCs w:val="20"/>
                <w:u w:val="none"/>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1E2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(元)</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E42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(元)</w:t>
            </w:r>
          </w:p>
        </w:tc>
        <w:tc>
          <w:tcPr>
            <w:tcW w:w="11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3A3591">
            <w:pPr>
              <w:jc w:val="center"/>
              <w:rPr>
                <w:rFonts w:hint="eastAsia" w:ascii="宋体" w:hAnsi="宋体" w:eastAsia="宋体" w:cs="宋体"/>
                <w:i w:val="0"/>
                <w:iCs w:val="0"/>
                <w:color w:val="000000"/>
                <w:sz w:val="20"/>
                <w:szCs w:val="20"/>
                <w:u w:val="none"/>
              </w:rPr>
            </w:pPr>
          </w:p>
        </w:tc>
      </w:tr>
      <w:tr w14:paraId="6DB38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6"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0DB13">
            <w:pPr>
              <w:keepNext w:val="0"/>
              <w:keepLines w:val="0"/>
              <w:widowControl/>
              <w:suppressLineNumbers w:val="0"/>
              <w:jc w:val="center"/>
              <w:textAlignment w:val="center"/>
              <w:rPr>
                <w:rFonts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1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0E2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挖掘机</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2B2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5F0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Style w:val="24"/>
                <w:lang w:val="en-US" w:eastAsia="zh-CN" w:bidi="ar"/>
              </w:rPr>
              <w:t>台.月</w:t>
            </w:r>
          </w:p>
        </w:tc>
        <w:tc>
          <w:tcPr>
            <w:tcW w:w="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F89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w:t>
            </w:r>
          </w:p>
        </w:tc>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63B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AE7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1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BA60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3台19个月</w:t>
            </w:r>
          </w:p>
        </w:tc>
      </w:tr>
      <w:tr w14:paraId="02159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9"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ABB3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1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AAB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挖掘机</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1F4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A45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Style w:val="24"/>
                <w:lang w:val="en-US" w:eastAsia="zh-CN" w:bidi="ar"/>
              </w:rPr>
              <w:t>台.月</w:t>
            </w:r>
          </w:p>
        </w:tc>
        <w:tc>
          <w:tcPr>
            <w:tcW w:w="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D75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w:t>
            </w:r>
          </w:p>
        </w:tc>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EB9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F11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1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55A1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3台19个月</w:t>
            </w:r>
          </w:p>
        </w:tc>
      </w:tr>
      <w:tr w14:paraId="26623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5"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A035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1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298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挖掘机</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1F9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360</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911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Style w:val="24"/>
                <w:lang w:val="en-US" w:eastAsia="zh-CN" w:bidi="ar"/>
              </w:rPr>
              <w:t>台.月</w:t>
            </w:r>
          </w:p>
        </w:tc>
        <w:tc>
          <w:tcPr>
            <w:tcW w:w="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972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4EA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65C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1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7689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1台16个月</w:t>
            </w:r>
          </w:p>
        </w:tc>
      </w:tr>
      <w:tr w14:paraId="30266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3DB0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1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BB4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挖掘机</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5BA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200加长臂</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E18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Style w:val="24"/>
                <w:lang w:val="en-US" w:eastAsia="zh-CN" w:bidi="ar"/>
              </w:rPr>
              <w:t>台.月</w:t>
            </w:r>
          </w:p>
        </w:tc>
        <w:tc>
          <w:tcPr>
            <w:tcW w:w="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E73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ADE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10C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1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103C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1台16个月</w:t>
            </w:r>
          </w:p>
        </w:tc>
      </w:tr>
      <w:tr w14:paraId="3D1E5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8"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E6A1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1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FBB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挖掘机</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E24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360加长臂</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86E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Style w:val="24"/>
                <w:lang w:val="en-US" w:eastAsia="zh-CN" w:bidi="ar"/>
              </w:rPr>
              <w:t>台.月</w:t>
            </w:r>
          </w:p>
        </w:tc>
        <w:tc>
          <w:tcPr>
            <w:tcW w:w="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100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B1B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705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1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45F3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1台16个月</w:t>
            </w:r>
          </w:p>
        </w:tc>
      </w:tr>
      <w:tr w14:paraId="05A4E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5"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38DB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1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147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土方运输车</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43D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15m3</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120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Style w:val="24"/>
                <w:lang w:val="en-US" w:eastAsia="zh-CN" w:bidi="ar"/>
              </w:rPr>
              <w:t>台.月</w:t>
            </w:r>
          </w:p>
        </w:tc>
        <w:tc>
          <w:tcPr>
            <w:tcW w:w="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AC9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w:t>
            </w:r>
          </w:p>
        </w:tc>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0E2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136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1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F3DA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5台19个月</w:t>
            </w:r>
          </w:p>
        </w:tc>
      </w:tr>
      <w:tr w14:paraId="5C23C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399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93E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不含税金额合计：</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28843">
            <w:pPr>
              <w:rPr>
                <w:rFonts w:hint="eastAsia" w:ascii="宋体" w:hAnsi="宋体" w:eastAsia="宋体" w:cs="宋体"/>
                <w:i w:val="0"/>
                <w:iCs w:val="0"/>
                <w:color w:val="000000"/>
                <w:sz w:val="22"/>
                <w:szCs w:val="22"/>
                <w:u w:val="none"/>
              </w:rPr>
            </w:pPr>
          </w:p>
        </w:tc>
        <w:tc>
          <w:tcPr>
            <w:tcW w:w="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B80B3">
            <w:pPr>
              <w:rPr>
                <w:rFonts w:hint="eastAsia" w:ascii="宋体" w:hAnsi="宋体" w:eastAsia="宋体" w:cs="宋体"/>
                <w:i w:val="0"/>
                <w:iCs w:val="0"/>
                <w:color w:val="000000"/>
                <w:sz w:val="22"/>
                <w:szCs w:val="22"/>
                <w:u w:val="none"/>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9E0C6">
            <w:pPr>
              <w:rPr>
                <w:rFonts w:hint="eastAsia" w:ascii="宋体" w:hAnsi="宋体" w:eastAsia="宋体" w:cs="宋体"/>
                <w:i w:val="0"/>
                <w:iCs w:val="0"/>
                <w:color w:val="000000"/>
                <w:sz w:val="22"/>
                <w:szCs w:val="22"/>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FB5D5">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p>
        </w:tc>
        <w:tc>
          <w:tcPr>
            <w:tcW w:w="11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B5DF0">
            <w:pPr>
              <w:rPr>
                <w:rFonts w:hint="eastAsia" w:ascii="宋体" w:hAnsi="宋体" w:eastAsia="宋体" w:cs="宋体"/>
                <w:i w:val="0"/>
                <w:iCs w:val="0"/>
                <w:color w:val="000000"/>
                <w:sz w:val="22"/>
                <w:szCs w:val="22"/>
                <w:u w:val="none"/>
              </w:rPr>
            </w:pPr>
          </w:p>
        </w:tc>
      </w:tr>
      <w:tr w14:paraId="251FB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399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A9E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增值税税金（  %）：</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5878B">
            <w:pPr>
              <w:rPr>
                <w:rFonts w:hint="eastAsia" w:ascii="宋体" w:hAnsi="宋体" w:eastAsia="宋体" w:cs="宋体"/>
                <w:i w:val="0"/>
                <w:iCs w:val="0"/>
                <w:color w:val="000000"/>
                <w:sz w:val="22"/>
                <w:szCs w:val="22"/>
                <w:u w:val="none"/>
              </w:rPr>
            </w:pPr>
          </w:p>
        </w:tc>
        <w:tc>
          <w:tcPr>
            <w:tcW w:w="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19373">
            <w:pPr>
              <w:rPr>
                <w:rFonts w:hint="eastAsia" w:ascii="宋体" w:hAnsi="宋体" w:eastAsia="宋体" w:cs="宋体"/>
                <w:i w:val="0"/>
                <w:iCs w:val="0"/>
                <w:color w:val="000000"/>
                <w:sz w:val="22"/>
                <w:szCs w:val="22"/>
                <w:u w:val="none"/>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10F17">
            <w:pPr>
              <w:rPr>
                <w:rFonts w:hint="eastAsia" w:ascii="宋体" w:hAnsi="宋体" w:eastAsia="宋体" w:cs="宋体"/>
                <w:i w:val="0"/>
                <w:iCs w:val="0"/>
                <w:color w:val="000000"/>
                <w:sz w:val="22"/>
                <w:szCs w:val="22"/>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F3284">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p>
        </w:tc>
        <w:tc>
          <w:tcPr>
            <w:tcW w:w="11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54B88">
            <w:pPr>
              <w:rPr>
                <w:rFonts w:hint="eastAsia" w:ascii="宋体" w:hAnsi="宋体" w:eastAsia="宋体" w:cs="宋体"/>
                <w:i w:val="0"/>
                <w:iCs w:val="0"/>
                <w:color w:val="000000"/>
                <w:sz w:val="22"/>
                <w:szCs w:val="22"/>
                <w:u w:val="none"/>
              </w:rPr>
            </w:pPr>
          </w:p>
        </w:tc>
      </w:tr>
      <w:tr w14:paraId="0E865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399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C44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含税金额合计：</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ACFBA">
            <w:pPr>
              <w:rPr>
                <w:rFonts w:hint="eastAsia" w:ascii="宋体" w:hAnsi="宋体" w:eastAsia="宋体" w:cs="宋体"/>
                <w:i w:val="0"/>
                <w:iCs w:val="0"/>
                <w:color w:val="000000"/>
                <w:sz w:val="22"/>
                <w:szCs w:val="22"/>
                <w:u w:val="none"/>
              </w:rPr>
            </w:pPr>
          </w:p>
        </w:tc>
        <w:tc>
          <w:tcPr>
            <w:tcW w:w="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8C2B3">
            <w:pPr>
              <w:rPr>
                <w:rFonts w:hint="eastAsia" w:ascii="宋体" w:hAnsi="宋体" w:eastAsia="宋体" w:cs="宋体"/>
                <w:i w:val="0"/>
                <w:iCs w:val="0"/>
                <w:color w:val="000000"/>
                <w:sz w:val="22"/>
                <w:szCs w:val="22"/>
                <w:u w:val="none"/>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DB02D">
            <w:pPr>
              <w:rPr>
                <w:rFonts w:hint="eastAsia" w:ascii="宋体" w:hAnsi="宋体" w:eastAsia="宋体" w:cs="宋体"/>
                <w:i w:val="0"/>
                <w:iCs w:val="0"/>
                <w:color w:val="000000"/>
                <w:sz w:val="22"/>
                <w:szCs w:val="22"/>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02D8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p>
        </w:tc>
        <w:tc>
          <w:tcPr>
            <w:tcW w:w="11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8E3AA">
            <w:pPr>
              <w:rPr>
                <w:rFonts w:hint="eastAsia" w:ascii="宋体" w:hAnsi="宋体" w:eastAsia="宋体" w:cs="宋体"/>
                <w:i w:val="0"/>
                <w:iCs w:val="0"/>
                <w:color w:val="000000"/>
                <w:sz w:val="22"/>
                <w:szCs w:val="22"/>
                <w:u w:val="none"/>
              </w:rPr>
            </w:pPr>
          </w:p>
        </w:tc>
      </w:tr>
      <w:tr w14:paraId="02B79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341" w:type="dxa"/>
            <w:gridSpan w:val="8"/>
            <w:tcBorders>
              <w:top w:val="nil"/>
              <w:left w:val="nil"/>
              <w:bottom w:val="nil"/>
              <w:right w:val="nil"/>
            </w:tcBorders>
            <w:shd w:val="clear" w:color="auto" w:fill="auto"/>
            <w:noWrap/>
            <w:vAlign w:val="center"/>
          </w:tcPr>
          <w:p w14:paraId="17C1DA87">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备注：含燃油费，不含机上人工</w:t>
            </w:r>
          </w:p>
        </w:tc>
      </w:tr>
      <w:tr w14:paraId="2FA97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9341" w:type="dxa"/>
            <w:gridSpan w:val="8"/>
            <w:tcBorders>
              <w:top w:val="nil"/>
              <w:left w:val="nil"/>
              <w:bottom w:val="nil"/>
              <w:right w:val="nil"/>
            </w:tcBorders>
            <w:shd w:val="clear" w:color="auto" w:fill="auto"/>
            <w:noWrap/>
            <w:vAlign w:val="center"/>
          </w:tcPr>
          <w:p w14:paraId="0F9D7B8F">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报价单位：</w:t>
            </w:r>
          </w:p>
        </w:tc>
      </w:tr>
      <w:tr w14:paraId="6C259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9341" w:type="dxa"/>
            <w:gridSpan w:val="8"/>
            <w:tcBorders>
              <w:top w:val="nil"/>
              <w:left w:val="nil"/>
              <w:bottom w:val="nil"/>
              <w:right w:val="nil"/>
            </w:tcBorders>
            <w:shd w:val="clear" w:color="auto" w:fill="auto"/>
            <w:noWrap/>
            <w:vAlign w:val="center"/>
          </w:tcPr>
          <w:p w14:paraId="22BB2A8E">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报价日期：</w:t>
            </w:r>
          </w:p>
        </w:tc>
      </w:tr>
    </w:tbl>
    <w:p w14:paraId="433C7D21">
      <w:pPr>
        <w:rPr>
          <w:rFonts w:hint="eastAsia" w:ascii="宋体" w:hAnsi="宋体" w:eastAsia="宋体" w:cs="宋体"/>
          <w:b/>
          <w:bCs/>
          <w:color w:val="auto"/>
          <w:kern w:val="2"/>
          <w:sz w:val="32"/>
          <w:szCs w:val="32"/>
          <w:u w:color="000000"/>
          <w:lang w:val="en-US" w:eastAsia="zh-CN" w:bidi="ar-SA"/>
        </w:rPr>
      </w:pPr>
      <w:r>
        <w:rPr>
          <w:rFonts w:hint="eastAsia" w:ascii="宋体" w:hAnsi="宋体" w:eastAsia="宋体" w:cs="宋体"/>
          <w:b/>
          <w:bCs/>
          <w:color w:val="auto"/>
          <w:kern w:val="2"/>
          <w:sz w:val="32"/>
          <w:szCs w:val="32"/>
          <w:u w:color="000000"/>
          <w:lang w:val="en-US" w:eastAsia="zh-CN" w:bidi="ar-SA"/>
        </w:rPr>
        <w:br w:type="page"/>
      </w:r>
    </w:p>
    <w:p w14:paraId="7F27B590">
      <w:pPr>
        <w:widowControl w:val="0"/>
        <w:numPr>
          <w:ilvl w:val="-1"/>
          <w:numId w:val="0"/>
        </w:numPr>
        <w:wordWrap w:val="0"/>
        <w:topLinePunct/>
        <w:adjustRightInd w:val="0"/>
        <w:snapToGrid w:val="0"/>
        <w:spacing w:line="360" w:lineRule="auto"/>
        <w:jc w:val="center"/>
        <w:outlineLvl w:val="0"/>
        <w:rPr>
          <w:rFonts w:hint="eastAsia" w:ascii="宋体" w:hAnsi="宋体" w:eastAsia="宋体" w:cs="宋体"/>
          <w:b/>
          <w:bCs/>
          <w:color w:val="auto"/>
          <w:kern w:val="2"/>
          <w:sz w:val="32"/>
          <w:szCs w:val="32"/>
          <w:u w:color="000000"/>
          <w:lang w:val="en-US" w:eastAsia="zh-CN"/>
        </w:rPr>
      </w:pPr>
      <w:r>
        <w:rPr>
          <w:rFonts w:hint="eastAsia" w:ascii="宋体" w:hAnsi="宋体" w:eastAsia="宋体" w:cs="宋体"/>
          <w:b/>
          <w:bCs/>
          <w:color w:val="auto"/>
          <w:kern w:val="2"/>
          <w:sz w:val="32"/>
          <w:szCs w:val="32"/>
          <w:u w:color="000000"/>
          <w:lang w:val="en-US" w:eastAsia="zh-CN" w:bidi="ar-SA"/>
        </w:rPr>
        <w:t xml:space="preserve">第四部分 </w:t>
      </w:r>
      <w:r>
        <w:rPr>
          <w:rFonts w:hint="eastAsia" w:ascii="宋体" w:hAnsi="宋体" w:eastAsia="宋体" w:cs="宋体"/>
          <w:b/>
          <w:bCs/>
          <w:color w:val="auto"/>
          <w:kern w:val="2"/>
          <w:sz w:val="32"/>
          <w:szCs w:val="32"/>
          <w:u w:color="000000"/>
          <w:lang w:val="en-US" w:eastAsia="zh-CN"/>
        </w:rPr>
        <w:t>评选办法</w:t>
      </w:r>
      <w:bookmarkEnd w:id="14"/>
    </w:p>
    <w:p w14:paraId="24E718F3">
      <w:pPr>
        <w:numPr>
          <w:ilvl w:val="0"/>
          <w:numId w:val="0"/>
        </w:numPr>
        <w:adjustRightInd w:val="0"/>
        <w:snapToGrid w:val="0"/>
        <w:spacing w:line="360" w:lineRule="auto"/>
        <w:jc w:val="both"/>
        <w:rPr>
          <w:rFonts w:hint="eastAsia" w:ascii="宋体" w:hAnsi="宋体" w:eastAsia="宋体" w:cs="宋体"/>
          <w:color w:val="auto"/>
          <w:sz w:val="28"/>
          <w:szCs w:val="28"/>
          <w:lang w:val="en-US" w:eastAsia="zh-CN"/>
        </w:rPr>
      </w:pPr>
    </w:p>
    <w:p w14:paraId="450CE5D9">
      <w:pPr>
        <w:numPr>
          <w:ilvl w:val="0"/>
          <w:numId w:val="0"/>
        </w:numPr>
        <w:adjustRightInd w:val="0"/>
        <w:snapToGrid w:val="0"/>
        <w:spacing w:line="360" w:lineRule="auto"/>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一、</w:t>
      </w:r>
      <w:r>
        <w:rPr>
          <w:rFonts w:hint="eastAsia" w:ascii="宋体" w:hAnsi="宋体" w:eastAsia="宋体" w:cs="宋体"/>
          <w:color w:val="auto"/>
          <w:sz w:val="28"/>
          <w:szCs w:val="28"/>
        </w:rPr>
        <w:t>本次</w:t>
      </w:r>
      <w:r>
        <w:rPr>
          <w:rFonts w:hint="eastAsia" w:ascii="宋体" w:hAnsi="宋体" w:eastAsia="宋体" w:cs="宋体"/>
          <w:color w:val="auto"/>
          <w:sz w:val="28"/>
          <w:szCs w:val="28"/>
          <w:lang w:eastAsia="zh-CN"/>
        </w:rPr>
        <w:t>采购</w:t>
      </w:r>
      <w:r>
        <w:rPr>
          <w:rFonts w:hint="eastAsia" w:ascii="宋体" w:hAnsi="宋体" w:eastAsia="宋体" w:cs="宋体"/>
          <w:color w:val="auto"/>
          <w:sz w:val="28"/>
          <w:szCs w:val="28"/>
        </w:rPr>
        <w:t>采用</w:t>
      </w:r>
      <w:r>
        <w:rPr>
          <w:rFonts w:hint="eastAsia" w:ascii="宋体" w:hAnsi="宋体" w:eastAsia="宋体" w:cs="宋体"/>
          <w:color w:val="auto"/>
          <w:sz w:val="28"/>
          <w:szCs w:val="28"/>
          <w:lang w:eastAsia="zh-CN"/>
        </w:rPr>
        <w:t>：</w:t>
      </w:r>
    </w:p>
    <w:p w14:paraId="1F9ABF48">
      <w:pPr>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1、</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最低价成交法</w:t>
      </w:r>
      <w:r>
        <w:rPr>
          <w:rFonts w:hint="eastAsia" w:ascii="宋体" w:hAnsi="宋体" w:eastAsia="宋体" w:cs="宋体"/>
          <w:color w:val="auto"/>
          <w:sz w:val="28"/>
          <w:szCs w:val="28"/>
          <w:lang w:eastAsia="zh-CN"/>
        </w:rPr>
        <w:t>。</w:t>
      </w:r>
    </w:p>
    <w:p w14:paraId="001555F7">
      <w:pPr>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w:t>
      </w:r>
      <w:r>
        <w:rPr>
          <w:rFonts w:hint="eastAsia" w:ascii="宋体" w:hAnsi="宋体" w:eastAsia="宋体" w:cs="宋体"/>
          <w:color w:val="auto"/>
          <w:sz w:val="28"/>
          <w:szCs w:val="28"/>
        </w:rPr>
        <w:t>最低价成交法</w:t>
      </w:r>
      <w:r>
        <w:rPr>
          <w:rFonts w:hint="eastAsia" w:ascii="宋体" w:hAnsi="宋体" w:eastAsia="宋体" w:cs="宋体"/>
          <w:color w:val="auto"/>
          <w:sz w:val="28"/>
          <w:szCs w:val="28"/>
          <w:lang w:eastAsia="zh-CN"/>
        </w:rPr>
        <w:t>，是指</w:t>
      </w:r>
      <w:r>
        <w:rPr>
          <w:rFonts w:hint="eastAsia" w:ascii="宋体" w:hAnsi="宋体" w:eastAsia="宋体" w:cs="宋体"/>
          <w:color w:val="auto"/>
          <w:sz w:val="28"/>
          <w:szCs w:val="28"/>
          <w:lang w:val="en-US" w:eastAsia="zh-CN"/>
        </w:rPr>
        <w:t>响应</w:t>
      </w:r>
      <w:r>
        <w:rPr>
          <w:rFonts w:hint="eastAsia" w:ascii="宋体" w:hAnsi="宋体" w:eastAsia="宋体" w:cs="宋体"/>
          <w:color w:val="auto"/>
          <w:sz w:val="28"/>
          <w:szCs w:val="28"/>
          <w:lang w:eastAsia="zh-CN"/>
        </w:rPr>
        <w:t>文件满足竞价文件全部实质性要求，且报价最低的</w:t>
      </w:r>
      <w:r>
        <w:rPr>
          <w:rFonts w:hint="eastAsia" w:ascii="宋体" w:hAnsi="宋体" w:eastAsia="宋体" w:cs="宋体"/>
          <w:color w:val="auto"/>
          <w:sz w:val="28"/>
          <w:szCs w:val="28"/>
          <w:lang w:val="en-US" w:eastAsia="zh-CN"/>
        </w:rPr>
        <w:t>响应人</w:t>
      </w:r>
      <w:r>
        <w:rPr>
          <w:rFonts w:hint="eastAsia" w:ascii="宋体" w:hAnsi="宋体" w:eastAsia="宋体" w:cs="宋体"/>
          <w:color w:val="auto"/>
          <w:sz w:val="28"/>
          <w:szCs w:val="28"/>
          <w:lang w:eastAsia="zh-CN"/>
        </w:rPr>
        <w:t>为中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候选人的评标方法。</w:t>
      </w:r>
    </w:p>
    <w:p w14:paraId="583F03D9">
      <w:pPr>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2)评选步骤：</w:t>
      </w:r>
    </w:p>
    <w:p w14:paraId="0C73381F">
      <w:pPr>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①资格</w:t>
      </w:r>
      <w:r>
        <w:rPr>
          <w:rFonts w:hint="eastAsia" w:ascii="宋体" w:hAnsi="宋体" w:eastAsia="宋体" w:cs="宋体"/>
          <w:color w:val="auto"/>
          <w:sz w:val="28"/>
          <w:szCs w:val="28"/>
          <w:lang w:val="en-US" w:eastAsia="zh-CN"/>
        </w:rPr>
        <w:t>符合</w:t>
      </w:r>
      <w:r>
        <w:rPr>
          <w:rFonts w:hint="eastAsia" w:ascii="宋体" w:hAnsi="宋体" w:eastAsia="宋体" w:cs="宋体"/>
          <w:color w:val="auto"/>
          <w:sz w:val="28"/>
          <w:szCs w:val="28"/>
          <w:lang w:eastAsia="zh-CN"/>
        </w:rPr>
        <w:t>性审查：开标结束后，采购人或者采购代理机构应当依法对响应人的响应文件进行</w:t>
      </w:r>
      <w:r>
        <w:rPr>
          <w:rFonts w:hint="eastAsia" w:ascii="宋体" w:hAnsi="宋体" w:eastAsia="宋体" w:cs="宋体"/>
          <w:color w:val="auto"/>
          <w:sz w:val="28"/>
          <w:szCs w:val="28"/>
          <w:lang w:val="en-US" w:eastAsia="zh-CN"/>
        </w:rPr>
        <w:t>资格符合</w:t>
      </w:r>
      <w:r>
        <w:rPr>
          <w:rFonts w:hint="eastAsia" w:ascii="宋体" w:hAnsi="宋体" w:eastAsia="宋体" w:cs="宋体"/>
          <w:color w:val="auto"/>
          <w:sz w:val="28"/>
          <w:szCs w:val="28"/>
          <w:lang w:eastAsia="zh-CN"/>
        </w:rPr>
        <w:t>性审查，以确定其是否满足竞价文件的实质性要求。未通过</w:t>
      </w:r>
      <w:r>
        <w:rPr>
          <w:rFonts w:hint="eastAsia" w:ascii="宋体" w:hAnsi="宋体" w:eastAsia="宋体" w:cs="宋体"/>
          <w:color w:val="auto"/>
          <w:sz w:val="28"/>
          <w:szCs w:val="28"/>
          <w:lang w:val="en-US" w:eastAsia="zh-CN"/>
        </w:rPr>
        <w:t>资格</w:t>
      </w:r>
      <w:r>
        <w:rPr>
          <w:rFonts w:hint="eastAsia" w:ascii="宋体" w:hAnsi="宋体" w:eastAsia="宋体" w:cs="宋体"/>
          <w:color w:val="auto"/>
          <w:sz w:val="28"/>
          <w:szCs w:val="28"/>
          <w:lang w:eastAsia="zh-CN"/>
        </w:rPr>
        <w:t>符合性审查的响应人，不进入价格评审。</w:t>
      </w:r>
    </w:p>
    <w:p w14:paraId="6B58DF62">
      <w:pPr>
        <w:adjustRightInd w:val="0"/>
        <w:snapToGrid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③</w:t>
      </w:r>
      <w:r>
        <w:rPr>
          <w:rFonts w:hint="eastAsia" w:ascii="宋体" w:hAnsi="宋体" w:eastAsia="宋体" w:cs="宋体"/>
          <w:color w:val="auto"/>
          <w:sz w:val="28"/>
          <w:szCs w:val="28"/>
          <w:lang w:eastAsia="zh-CN"/>
        </w:rPr>
        <w:t>价格评审：评</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结果按报价由低到高顺序排列。报价相同的并列，中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候选人并列的，由采购人采取</w:t>
      </w:r>
      <w:r>
        <w:rPr>
          <w:rFonts w:hint="eastAsia" w:ascii="宋体" w:hAnsi="宋体" w:eastAsia="宋体" w:cs="宋体"/>
          <w:color w:val="auto"/>
          <w:sz w:val="28"/>
          <w:szCs w:val="28"/>
          <w:lang w:val="en-US" w:eastAsia="zh-CN"/>
        </w:rPr>
        <w:t>随机抽取方式</w:t>
      </w:r>
      <w:r>
        <w:rPr>
          <w:rFonts w:hint="eastAsia" w:ascii="宋体" w:hAnsi="宋体" w:eastAsia="宋体" w:cs="宋体"/>
          <w:color w:val="auto"/>
          <w:sz w:val="28"/>
          <w:szCs w:val="28"/>
          <w:lang w:eastAsia="zh-CN"/>
        </w:rPr>
        <w:t>确定中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人。</w:t>
      </w:r>
    </w:p>
    <w:p w14:paraId="56146753">
      <w:pPr>
        <w:adjustRightInd w:val="0"/>
        <w:snapToGrid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2、□综合评估法。具体标准如下：</w:t>
      </w:r>
      <w:r>
        <w:rPr>
          <w:rFonts w:hint="eastAsia" w:ascii="宋体" w:hAnsi="宋体" w:eastAsia="宋体" w:cs="宋体"/>
          <w:color w:val="auto"/>
          <w:sz w:val="28"/>
          <w:szCs w:val="28"/>
          <w:lang w:val="en-US" w:eastAsia="zh-CN"/>
        </w:rPr>
        <w:t>/</w:t>
      </w:r>
    </w:p>
    <w:p w14:paraId="551D28EF">
      <w:pPr>
        <w:numPr>
          <w:ilvl w:val="0"/>
          <w:numId w:val="0"/>
        </w:numPr>
        <w:spacing w:line="600" w:lineRule="exact"/>
        <w:jc w:val="both"/>
        <w:outlineLvl w:val="0"/>
        <w:rPr>
          <w:rFonts w:ascii="宋体" w:hAnsi="宋体" w:eastAsia="宋体" w:cs="宋体"/>
          <w:b/>
          <w:bCs/>
          <w:color w:val="auto"/>
          <w:sz w:val="32"/>
          <w:szCs w:val="32"/>
        </w:rPr>
        <w:sectPr>
          <w:headerReference r:id="rId6" w:type="default"/>
          <w:footerReference r:id="rId7" w:type="default"/>
          <w:footerReference r:id="rId8" w:type="even"/>
          <w:pgSz w:w="11906" w:h="16838"/>
          <w:pgMar w:top="1440" w:right="1417" w:bottom="1440" w:left="1587" w:header="851" w:footer="851" w:gutter="0"/>
          <w:pgNumType w:fmt="decimal" w:start="11"/>
          <w:cols w:space="720" w:num="1"/>
          <w:docGrid w:type="lines" w:linePitch="312" w:charSpace="0"/>
        </w:sectPr>
      </w:pPr>
    </w:p>
    <w:p w14:paraId="3FF887E2">
      <w:pPr>
        <w:numPr>
          <w:ilvl w:val="0"/>
          <w:numId w:val="0"/>
        </w:numPr>
        <w:spacing w:line="600" w:lineRule="exact"/>
        <w:jc w:val="center"/>
        <w:outlineLvl w:val="0"/>
        <w:rPr>
          <w:rFonts w:hint="eastAsia" w:ascii="宋体" w:hAnsi="宋体"/>
          <w:b/>
          <w:bCs/>
          <w:color w:val="auto"/>
          <w:sz w:val="48"/>
          <w:lang w:val="en-US" w:eastAsia="zh-CN"/>
        </w:rPr>
      </w:pPr>
      <w:bookmarkStart w:id="15" w:name="_Toc15179"/>
      <w:r>
        <w:rPr>
          <w:rFonts w:ascii="宋体" w:hAnsi="宋体" w:eastAsia="宋体" w:cs="宋体"/>
          <w:b/>
          <w:bCs/>
          <w:color w:val="auto"/>
          <w:sz w:val="32"/>
          <w:szCs w:val="32"/>
        </w:rPr>
        <w:t>第五部分 合同主要条款</w:t>
      </w:r>
      <w:bookmarkEnd w:id="15"/>
    </w:p>
    <w:p w14:paraId="7ABCC388">
      <w:pPr>
        <w:pStyle w:val="8"/>
        <w:outlineLvl w:val="9"/>
        <w:rPr>
          <w:rFonts w:hint="eastAsia" w:ascii="仿宋" w:hAnsi="仿宋" w:eastAsia="仿宋"/>
          <w:sz w:val="36"/>
          <w:szCs w:val="36"/>
        </w:rPr>
      </w:pPr>
      <w:bookmarkStart w:id="16" w:name="_Toc16011"/>
      <w:r>
        <w:rPr>
          <w:rFonts w:hint="eastAsia" w:ascii="仿宋" w:hAnsi="仿宋" w:eastAsia="仿宋"/>
          <w:sz w:val="36"/>
          <w:szCs w:val="36"/>
          <w:lang w:eastAsia="zh-CN"/>
        </w:rPr>
        <w:t>土方机械</w:t>
      </w:r>
      <w:r>
        <w:rPr>
          <w:rFonts w:hint="eastAsia" w:ascii="仿宋" w:hAnsi="仿宋" w:eastAsia="仿宋"/>
          <w:sz w:val="36"/>
          <w:szCs w:val="36"/>
        </w:rPr>
        <w:t>租赁合同</w:t>
      </w:r>
    </w:p>
    <w:p w14:paraId="1C5A3FE9">
      <w:pPr>
        <w:autoSpaceDE w:val="0"/>
        <w:autoSpaceDN w:val="0"/>
        <w:spacing w:line="360" w:lineRule="auto"/>
        <w:ind w:right="0" w:rightChars="0"/>
        <w:jc w:val="center"/>
        <w:rPr>
          <w:rFonts w:hint="eastAsia" w:ascii="仿宋" w:hAnsi="仿宋" w:eastAsia="仿宋" w:cs="Times New Roman"/>
          <w:sz w:val="24"/>
        </w:rPr>
      </w:pPr>
      <w:r>
        <w:rPr>
          <w:rFonts w:hint="eastAsia" w:ascii="仿宋" w:hAnsi="仿宋" w:eastAsia="仿宋" w:cs="Times New Roman"/>
          <w:sz w:val="24"/>
          <w:lang w:val="en-US" w:eastAsia="zh-CN"/>
        </w:rPr>
        <w:t xml:space="preserve">                              </w:t>
      </w:r>
      <w:r>
        <w:rPr>
          <w:rFonts w:hint="eastAsia" w:ascii="仿宋" w:hAnsi="仿宋" w:eastAsia="仿宋" w:cs="Times New Roman"/>
          <w:sz w:val="24"/>
        </w:rPr>
        <w:t xml:space="preserve">合同编号：        </w:t>
      </w:r>
    </w:p>
    <w:p w14:paraId="04CA200C">
      <w:pPr>
        <w:autoSpaceDE w:val="0"/>
        <w:autoSpaceDN w:val="0"/>
        <w:spacing w:line="360" w:lineRule="auto"/>
        <w:ind w:firstLine="0" w:firstLineChars="0"/>
        <w:rPr>
          <w:rFonts w:hint="default" w:ascii="仿宋" w:hAnsi="仿宋" w:eastAsia="仿宋" w:cs="Times New Roman"/>
          <w:sz w:val="24"/>
          <w:u w:val="single"/>
          <w:lang w:val="en-US" w:eastAsia="zh-CN"/>
        </w:rPr>
      </w:pPr>
      <w:r>
        <w:rPr>
          <w:rFonts w:hint="eastAsia" w:ascii="仿宋" w:hAnsi="仿宋" w:eastAsia="仿宋" w:cs="Times New Roman"/>
          <w:sz w:val="24"/>
          <w:lang w:val="zh-CN"/>
        </w:rPr>
        <w:t>甲方</w:t>
      </w:r>
      <w:r>
        <w:rPr>
          <w:rFonts w:hint="eastAsia" w:ascii="仿宋" w:hAnsi="仿宋" w:eastAsia="仿宋" w:cs="Times New Roman"/>
          <w:sz w:val="24"/>
        </w:rPr>
        <w:t>（承租方）</w:t>
      </w:r>
      <w:r>
        <w:rPr>
          <w:rFonts w:hint="eastAsia" w:ascii="仿宋" w:hAnsi="仿宋" w:eastAsia="仿宋" w:cs="Times New Roman"/>
          <w:sz w:val="24"/>
          <w:lang w:val="zh-CN"/>
        </w:rPr>
        <w:t>：</w:t>
      </w:r>
      <w:r>
        <w:rPr>
          <w:rFonts w:hint="eastAsia" w:ascii="仿宋" w:hAnsi="仿宋" w:eastAsia="仿宋" w:cs="Times New Roman"/>
          <w:sz w:val="24"/>
          <w:u w:val="single"/>
          <w:lang w:val="en-US" w:eastAsia="zh-CN"/>
        </w:rPr>
        <w:t xml:space="preserve">       </w:t>
      </w:r>
    </w:p>
    <w:p w14:paraId="289AABFB">
      <w:pPr>
        <w:autoSpaceDE w:val="0"/>
        <w:autoSpaceDN w:val="0"/>
        <w:spacing w:line="360" w:lineRule="auto"/>
        <w:ind w:firstLine="0" w:firstLineChars="0"/>
        <w:rPr>
          <w:rFonts w:hint="eastAsia" w:ascii="仿宋" w:hAnsi="仿宋" w:eastAsia="仿宋" w:cs="Times New Roman"/>
          <w:sz w:val="24"/>
          <w:lang w:val="zh-CN"/>
        </w:rPr>
      </w:pPr>
      <w:r>
        <w:rPr>
          <w:rFonts w:hint="eastAsia" w:ascii="仿宋" w:hAnsi="仿宋" w:eastAsia="仿宋" w:cs="Times New Roman"/>
          <w:sz w:val="24"/>
          <w:lang w:val="zh-CN"/>
        </w:rPr>
        <w:t>乙方</w:t>
      </w:r>
      <w:r>
        <w:rPr>
          <w:rFonts w:hint="eastAsia" w:ascii="仿宋" w:hAnsi="仿宋" w:eastAsia="仿宋" w:cs="Times New Roman"/>
          <w:sz w:val="24"/>
        </w:rPr>
        <w:t>（</w:t>
      </w:r>
      <w:r>
        <w:rPr>
          <w:rFonts w:hint="eastAsia" w:ascii="仿宋" w:hAnsi="仿宋" w:eastAsia="仿宋" w:cs="Times New Roman"/>
          <w:sz w:val="24"/>
          <w:lang w:val="zh-CN"/>
        </w:rPr>
        <w:t>出租方）：</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lang w:val="zh-CN"/>
        </w:rPr>
        <w:t xml:space="preserve">  </w:t>
      </w:r>
    </w:p>
    <w:p w14:paraId="2534D427">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甲方因</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 xml:space="preserve">工程需要租赁乙方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，为了明确双方权利义务关系，甲、乙双方本着自愿、公平、平等互利的原则，经协商一致，达成如下协议：</w:t>
      </w:r>
    </w:p>
    <w:p w14:paraId="0DAA84CF">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一、租赁工程设备</w:t>
      </w:r>
      <w:r>
        <w:rPr>
          <w:rFonts w:hint="eastAsia" w:ascii="仿宋" w:hAnsi="仿宋" w:eastAsia="仿宋" w:cs="Times New Roman"/>
          <w:b/>
          <w:sz w:val="24"/>
          <w:lang w:eastAsia="zh-CN"/>
        </w:rPr>
        <w:t>、</w:t>
      </w:r>
      <w:r>
        <w:rPr>
          <w:rFonts w:hint="eastAsia" w:ascii="仿宋" w:hAnsi="仿宋" w:eastAsia="仿宋" w:cs="Times New Roman"/>
          <w:b/>
          <w:sz w:val="24"/>
          <w:lang w:val="en-US" w:eastAsia="zh-CN"/>
        </w:rPr>
        <w:t>材料</w:t>
      </w:r>
      <w:r>
        <w:rPr>
          <w:rFonts w:hint="eastAsia" w:ascii="仿宋" w:hAnsi="仿宋" w:eastAsia="仿宋" w:cs="Times New Roman"/>
          <w:b/>
          <w:sz w:val="24"/>
        </w:rPr>
        <w:t>概况：</w:t>
      </w:r>
    </w:p>
    <w:p w14:paraId="1719AC90">
      <w:pPr>
        <w:spacing w:line="360" w:lineRule="auto"/>
        <w:ind w:firstLine="480" w:firstLineChars="200"/>
        <w:rPr>
          <w:rFonts w:hint="eastAsia" w:ascii="仿宋" w:hAnsi="仿宋" w:eastAsia="仿宋" w:cs="Times New Roman"/>
          <w:sz w:val="24"/>
          <w:u w:val="single"/>
        </w:rPr>
      </w:pPr>
      <w:r>
        <w:rPr>
          <w:rFonts w:hint="eastAsia" w:ascii="仿宋" w:hAnsi="仿宋" w:eastAsia="仿宋" w:cs="Times New Roman"/>
          <w:sz w:val="24"/>
        </w:rPr>
        <w:t>设备名称：</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p>
    <w:p w14:paraId="0383BED7">
      <w:pPr>
        <w:spacing w:line="360" w:lineRule="auto"/>
        <w:ind w:firstLine="480" w:firstLineChars="200"/>
        <w:rPr>
          <w:rFonts w:hint="eastAsia" w:ascii="仿宋" w:hAnsi="仿宋" w:eastAsia="仿宋" w:cs="Times New Roman"/>
          <w:sz w:val="24"/>
          <w:u w:val="single"/>
        </w:rPr>
      </w:pPr>
      <w:r>
        <w:rPr>
          <w:rFonts w:hint="eastAsia" w:ascii="仿宋" w:hAnsi="仿宋" w:eastAsia="仿宋" w:cs="Times New Roman"/>
          <w:sz w:val="24"/>
        </w:rPr>
        <w:t>设备型号：</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p>
    <w:p w14:paraId="50981DA2">
      <w:pPr>
        <w:spacing w:line="360" w:lineRule="auto"/>
        <w:ind w:firstLine="480" w:firstLineChars="200"/>
        <w:rPr>
          <w:rFonts w:hint="eastAsia" w:ascii="仿宋" w:hAnsi="仿宋" w:eastAsia="仿宋" w:cs="Times New Roman"/>
          <w:sz w:val="24"/>
          <w:u w:val="single"/>
        </w:rPr>
      </w:pPr>
      <w:r>
        <w:rPr>
          <w:rFonts w:hint="eastAsia" w:ascii="仿宋" w:hAnsi="仿宋" w:eastAsia="仿宋" w:cs="Times New Roman"/>
          <w:sz w:val="24"/>
        </w:rPr>
        <w:t>设备生产厂家（品牌）：</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p>
    <w:p w14:paraId="5A67E2CB">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租赁设备情况：</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成新</w:t>
      </w:r>
    </w:p>
    <w:p w14:paraId="45C1754F">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租赁设备应备资料：随机附设备的操作手册、保养手册、合格证，设备使用记录。</w:t>
      </w:r>
    </w:p>
    <w:p w14:paraId="6D9E4F9C">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二、使用的工程项目：</w:t>
      </w:r>
    </w:p>
    <w:p w14:paraId="37686CEE">
      <w:pPr>
        <w:spacing w:line="360" w:lineRule="auto"/>
        <w:ind w:firstLine="480" w:firstLineChars="200"/>
        <w:rPr>
          <w:rFonts w:hint="eastAsia" w:ascii="仿宋" w:hAnsi="仿宋" w:eastAsia="仿宋" w:cs="Times New Roman"/>
          <w:bCs/>
          <w:sz w:val="24"/>
        </w:rPr>
      </w:pPr>
      <w:r>
        <w:rPr>
          <w:rFonts w:hint="eastAsia" w:ascii="仿宋" w:hAnsi="仿宋" w:eastAsia="仿宋" w:cs="Times New Roman"/>
          <w:bCs/>
          <w:sz w:val="24"/>
        </w:rPr>
        <w:t>1、本设备仅限</w:t>
      </w:r>
      <w:r>
        <w:rPr>
          <w:rFonts w:hint="eastAsia" w:ascii="仿宋" w:hAnsi="仿宋" w:eastAsia="仿宋" w:cs="Times New Roman"/>
          <w:bCs/>
          <w:sz w:val="24"/>
          <w:u w:val="single"/>
        </w:rPr>
        <w:t xml:space="preserve">  </w:t>
      </w:r>
      <w:r>
        <w:rPr>
          <w:rFonts w:hint="eastAsia" w:ascii="仿宋" w:hAnsi="仿宋" w:eastAsia="仿宋" w:cs="Times New Roman"/>
          <w:bCs/>
          <w:sz w:val="24"/>
          <w:u w:val="single"/>
          <w:lang w:val="en-US" w:eastAsia="zh-CN"/>
        </w:rPr>
        <w:t xml:space="preserve">   </w:t>
      </w:r>
      <w:r>
        <w:rPr>
          <w:rFonts w:hint="eastAsia" w:ascii="仿宋" w:hAnsi="仿宋" w:eastAsia="仿宋" w:cs="Times New Roman"/>
          <w:bCs/>
          <w:sz w:val="24"/>
        </w:rPr>
        <w:t>使用；</w:t>
      </w:r>
    </w:p>
    <w:p w14:paraId="3627D58E">
      <w:pPr>
        <w:spacing w:line="360" w:lineRule="auto"/>
        <w:ind w:firstLine="480" w:firstLineChars="200"/>
        <w:rPr>
          <w:rFonts w:hint="eastAsia" w:ascii="仿宋" w:hAnsi="仿宋" w:eastAsia="仿宋" w:cs="Times New Roman"/>
          <w:bCs/>
          <w:color w:val="auto"/>
          <w:sz w:val="24"/>
        </w:rPr>
      </w:pPr>
      <w:r>
        <w:rPr>
          <w:rFonts w:hint="eastAsia" w:ascii="仿宋" w:hAnsi="仿宋" w:eastAsia="仿宋" w:cs="Times New Roman"/>
          <w:bCs/>
          <w:sz w:val="24"/>
        </w:rPr>
        <w:t>2、所租设</w:t>
      </w:r>
      <w:r>
        <w:rPr>
          <w:rFonts w:hint="eastAsia" w:ascii="仿宋" w:hAnsi="仿宋" w:eastAsia="仿宋" w:cs="Times New Roman"/>
          <w:bCs/>
          <w:color w:val="auto"/>
          <w:sz w:val="24"/>
        </w:rPr>
        <w:t>备如变更使用的工程项目，甲方应该提前</w:t>
      </w:r>
      <w:r>
        <w:rPr>
          <w:rFonts w:hint="eastAsia" w:ascii="仿宋" w:hAnsi="仿宋" w:eastAsia="仿宋" w:cs="Times New Roman"/>
          <w:bCs/>
          <w:color w:val="auto"/>
          <w:sz w:val="24"/>
          <w:u w:val="single"/>
        </w:rPr>
        <w:t xml:space="preserve"> </w:t>
      </w:r>
      <w:r>
        <w:rPr>
          <w:rFonts w:hint="eastAsia" w:ascii="仿宋" w:hAnsi="仿宋" w:eastAsia="仿宋" w:cs="Times New Roman"/>
          <w:bCs/>
          <w:color w:val="auto"/>
          <w:sz w:val="24"/>
          <w:u w:val="single"/>
          <w:lang w:val="en-US" w:eastAsia="zh-CN"/>
        </w:rPr>
        <w:t xml:space="preserve"> </w:t>
      </w:r>
      <w:r>
        <w:rPr>
          <w:rFonts w:hint="eastAsia" w:ascii="仿宋" w:hAnsi="仿宋" w:eastAsia="仿宋" w:cs="Times New Roman"/>
          <w:bCs/>
          <w:color w:val="auto"/>
          <w:sz w:val="24"/>
          <w:u w:val="single"/>
        </w:rPr>
        <w:t xml:space="preserve">  </w:t>
      </w:r>
      <w:r>
        <w:rPr>
          <w:rFonts w:hint="eastAsia" w:ascii="仿宋" w:hAnsi="仿宋" w:eastAsia="仿宋" w:cs="Times New Roman"/>
          <w:bCs/>
          <w:color w:val="auto"/>
          <w:sz w:val="24"/>
        </w:rPr>
        <w:t>天以书面形式通知乙方，双方协商并达成一致意见后，另签合同。</w:t>
      </w:r>
    </w:p>
    <w:p w14:paraId="48D32E7D">
      <w:pPr>
        <w:spacing w:line="360" w:lineRule="auto"/>
        <w:ind w:firstLine="482" w:firstLineChars="200"/>
        <w:rPr>
          <w:rFonts w:hint="eastAsia" w:ascii="仿宋" w:hAnsi="仿宋" w:eastAsia="仿宋" w:cs="Times New Roman"/>
          <w:b/>
          <w:color w:val="auto"/>
          <w:sz w:val="24"/>
        </w:rPr>
      </w:pPr>
      <w:r>
        <w:rPr>
          <w:rFonts w:hint="eastAsia" w:ascii="仿宋" w:hAnsi="仿宋" w:eastAsia="仿宋" w:cs="Times New Roman"/>
          <w:b/>
          <w:color w:val="auto"/>
          <w:sz w:val="24"/>
        </w:rPr>
        <w:t>三、租赁期限：</w:t>
      </w:r>
    </w:p>
    <w:p w14:paraId="554DAC63">
      <w:pPr>
        <w:spacing w:line="360" w:lineRule="auto"/>
        <w:ind w:firstLine="480" w:firstLineChars="200"/>
        <w:rPr>
          <w:rFonts w:hint="eastAsia" w:ascii="仿宋" w:hAnsi="仿宋" w:eastAsia="仿宋" w:cs="Times New Roman"/>
          <w:bCs/>
          <w:color w:val="auto"/>
          <w:sz w:val="24"/>
        </w:rPr>
      </w:pPr>
      <w:r>
        <w:rPr>
          <w:rFonts w:hint="eastAsia" w:ascii="仿宋" w:hAnsi="仿宋" w:eastAsia="仿宋" w:cs="Times New Roman"/>
          <w:bCs/>
          <w:color w:val="auto"/>
          <w:sz w:val="24"/>
        </w:rPr>
        <w:t>1、</w:t>
      </w:r>
      <w:r>
        <w:rPr>
          <w:rFonts w:hint="eastAsia" w:ascii="仿宋" w:hAnsi="仿宋" w:eastAsia="仿宋" w:cs="Times New Roman"/>
          <w:color w:val="auto"/>
          <w:sz w:val="24"/>
        </w:rPr>
        <w:t>租期自</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年</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月</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日至</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年</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月</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日，具体进场时间以甲方通知为准。</w:t>
      </w:r>
      <w:r>
        <w:rPr>
          <w:rFonts w:hint="eastAsia" w:ascii="仿宋" w:hAnsi="仿宋" w:eastAsia="仿宋" w:cs="Times New Roman"/>
          <w:color w:val="auto"/>
          <w:sz w:val="24"/>
          <w:lang w:val="en-US" w:eastAsia="zh-CN"/>
        </w:rPr>
        <w:t>以《</w:t>
      </w:r>
      <w:r>
        <w:rPr>
          <w:rFonts w:hint="eastAsia" w:ascii="仿宋" w:hAnsi="仿宋" w:eastAsia="仿宋" w:cs="Times New Roman"/>
          <w:color w:val="auto"/>
          <w:sz w:val="24"/>
        </w:rPr>
        <w:t>租赁价格清单表</w:t>
      </w:r>
      <w:r>
        <w:rPr>
          <w:rFonts w:hint="eastAsia" w:ascii="仿宋" w:hAnsi="仿宋" w:eastAsia="仿宋" w:cs="Times New Roman"/>
          <w:color w:val="auto"/>
          <w:sz w:val="24"/>
          <w:lang w:eastAsia="zh-CN"/>
        </w:rPr>
        <w:t>》</w:t>
      </w:r>
      <w:r>
        <w:rPr>
          <w:rFonts w:hint="eastAsia" w:ascii="仿宋" w:hAnsi="仿宋" w:eastAsia="仿宋" w:cs="Times New Roman"/>
          <w:color w:val="auto"/>
          <w:sz w:val="24"/>
          <w:lang w:val="en-US" w:eastAsia="zh-CN"/>
        </w:rPr>
        <w:t>约定的计价方式以数量*单价的形式结算</w:t>
      </w:r>
      <w:r>
        <w:rPr>
          <w:rFonts w:hint="eastAsia" w:ascii="仿宋" w:hAnsi="仿宋" w:eastAsia="仿宋" w:cs="Times New Roman"/>
          <w:color w:val="auto"/>
          <w:sz w:val="24"/>
        </w:rPr>
        <w:t>。</w:t>
      </w:r>
    </w:p>
    <w:p w14:paraId="6B67224E">
      <w:pPr>
        <w:spacing w:line="360" w:lineRule="auto"/>
        <w:ind w:firstLine="480" w:firstLineChars="200"/>
        <w:rPr>
          <w:rFonts w:hint="eastAsia" w:ascii="仿宋" w:hAnsi="仿宋" w:eastAsia="仿宋" w:cs="Times New Roman"/>
          <w:bCs/>
          <w:sz w:val="24"/>
        </w:rPr>
      </w:pPr>
      <w:r>
        <w:rPr>
          <w:rFonts w:hint="eastAsia" w:ascii="仿宋" w:hAnsi="仿宋" w:eastAsia="仿宋" w:cs="Times New Roman"/>
          <w:bCs/>
          <w:color w:val="auto"/>
          <w:sz w:val="24"/>
        </w:rPr>
        <w:t>2、租期届满前</w:t>
      </w:r>
      <w:r>
        <w:rPr>
          <w:rFonts w:hint="eastAsia" w:ascii="仿宋" w:hAnsi="仿宋" w:eastAsia="仿宋" w:cs="Times New Roman"/>
          <w:bCs/>
          <w:color w:val="auto"/>
          <w:sz w:val="24"/>
          <w:u w:val="single"/>
        </w:rPr>
        <w:t xml:space="preserve">  </w:t>
      </w:r>
      <w:r>
        <w:rPr>
          <w:rFonts w:hint="eastAsia" w:ascii="仿宋" w:hAnsi="仿宋" w:eastAsia="仿宋" w:cs="Times New Roman"/>
          <w:bCs/>
          <w:color w:val="auto"/>
          <w:sz w:val="24"/>
          <w:u w:val="single"/>
          <w:lang w:val="en-US" w:eastAsia="zh-CN"/>
        </w:rPr>
        <w:t xml:space="preserve">  </w:t>
      </w:r>
      <w:r>
        <w:rPr>
          <w:rFonts w:hint="eastAsia" w:ascii="仿宋" w:hAnsi="仿宋" w:eastAsia="仿宋" w:cs="Times New Roman"/>
          <w:bCs/>
          <w:color w:val="auto"/>
          <w:sz w:val="24"/>
          <w:u w:val="single"/>
        </w:rPr>
        <w:t xml:space="preserve">  </w:t>
      </w:r>
      <w:r>
        <w:rPr>
          <w:rFonts w:hint="eastAsia" w:ascii="仿宋" w:hAnsi="仿宋" w:eastAsia="仿宋" w:cs="Times New Roman"/>
          <w:bCs/>
          <w:color w:val="auto"/>
          <w:sz w:val="24"/>
        </w:rPr>
        <w:t>天，甲方应及</w:t>
      </w:r>
      <w:r>
        <w:rPr>
          <w:rFonts w:hint="eastAsia" w:ascii="仿宋" w:hAnsi="仿宋" w:eastAsia="仿宋" w:cs="Times New Roman"/>
          <w:bCs/>
          <w:sz w:val="24"/>
        </w:rPr>
        <w:t>时书面通知乙方止租或续租。止租日期确定后，租金不再计算。如乙方未按甲方通知时间接收设备，设备暂由甲方保管，逾期接收所产生的设备保管费由乙方承担。设备保管费用以</w:t>
      </w:r>
      <w:r>
        <w:rPr>
          <w:rFonts w:hint="eastAsia" w:ascii="仿宋" w:hAnsi="仿宋" w:eastAsia="仿宋" w:cs="Times New Roman"/>
          <w:bCs/>
          <w:sz w:val="24"/>
          <w:u w:val="single"/>
          <w:lang w:val="en-US" w:eastAsia="zh-CN"/>
        </w:rPr>
        <w:t xml:space="preserve">    </w:t>
      </w:r>
      <w:r>
        <w:rPr>
          <w:rFonts w:hint="eastAsia" w:ascii="仿宋" w:hAnsi="仿宋" w:eastAsia="仿宋" w:cs="Times New Roman"/>
          <w:bCs/>
          <w:sz w:val="24"/>
        </w:rPr>
        <w:t>计算，该部分费用甲方有权在最终结算时于应付租赁费中予以扣除。</w:t>
      </w:r>
    </w:p>
    <w:p w14:paraId="5D35F861">
      <w:pPr>
        <w:spacing w:line="360" w:lineRule="auto"/>
        <w:ind w:firstLine="482" w:firstLineChars="200"/>
        <w:rPr>
          <w:rFonts w:hint="eastAsia" w:ascii="仿宋" w:hAnsi="仿宋" w:eastAsia="仿宋" w:cs="Times New Roman"/>
          <w:b/>
          <w:bCs/>
          <w:sz w:val="24"/>
        </w:rPr>
      </w:pPr>
      <w:r>
        <w:rPr>
          <w:rFonts w:hint="eastAsia" w:ascii="仿宋" w:hAnsi="仿宋" w:eastAsia="仿宋" w:cs="Times New Roman"/>
          <w:b/>
          <w:bCs/>
          <w:sz w:val="24"/>
        </w:rPr>
        <w:t>四、结算、付款、发票约定</w:t>
      </w:r>
    </w:p>
    <w:p w14:paraId="72922A6B">
      <w:pPr>
        <w:spacing w:line="400" w:lineRule="exact"/>
        <w:ind w:firstLine="480" w:firstLineChars="200"/>
        <w:jc w:val="left"/>
        <w:rPr>
          <w:rFonts w:hint="eastAsia" w:ascii="仿宋" w:hAnsi="仿宋" w:eastAsia="仿宋" w:cs="Times New Roman"/>
          <w:sz w:val="24"/>
        </w:rPr>
      </w:pPr>
      <w:r>
        <w:rPr>
          <w:rFonts w:hint="eastAsia" w:ascii="仿宋" w:hAnsi="仿宋" w:eastAsia="仿宋" w:cs="Times New Roman"/>
          <w:sz w:val="24"/>
        </w:rPr>
        <w:t>1、租金支付：</w:t>
      </w:r>
    </w:p>
    <w:p w14:paraId="5F395C3C">
      <w:pPr>
        <w:spacing w:line="360" w:lineRule="auto"/>
        <w:ind w:firstLine="720" w:firstLineChars="300"/>
        <w:jc w:val="left"/>
        <w:rPr>
          <w:rFonts w:hint="eastAsia" w:ascii="仿宋" w:hAnsi="仿宋" w:eastAsia="仿宋" w:cs="Times New Roman"/>
          <w:sz w:val="24"/>
          <w:highlight w:val="none"/>
        </w:rPr>
      </w:pPr>
      <w:r>
        <w:rPr>
          <w:rFonts w:hint="eastAsia" w:ascii="仿宋" w:hAnsi="仿宋" w:eastAsia="仿宋" w:cs="Times New Roman"/>
          <w:sz w:val="24"/>
          <w:lang w:val="en-US" w:eastAsia="zh-CN"/>
        </w:rPr>
        <w:t>租金进度款</w:t>
      </w:r>
      <w:r>
        <w:rPr>
          <w:rFonts w:hint="eastAsia" w:ascii="仿宋" w:hAnsi="仿宋" w:eastAsia="仿宋" w:cs="Times New Roman"/>
          <w:sz w:val="24"/>
        </w:rPr>
        <w:t>按</w:t>
      </w:r>
      <w:r>
        <w:rPr>
          <w:rFonts w:hint="eastAsia" w:ascii="仿宋" w:hAnsi="仿宋" w:eastAsia="仿宋" w:cs="Times New Roman"/>
          <w:sz w:val="24"/>
          <w:lang w:val="en-US" w:eastAsia="zh-CN"/>
        </w:rPr>
        <w:t>完成</w:t>
      </w:r>
      <w:r>
        <w:rPr>
          <w:rFonts w:hint="eastAsia" w:ascii="仿宋" w:hAnsi="仿宋" w:eastAsia="仿宋" w:cs="Times New Roman"/>
          <w:color w:val="auto"/>
          <w:sz w:val="24"/>
          <w:lang w:val="en-US" w:eastAsia="zh-CN"/>
        </w:rPr>
        <w:t>数量进行</w:t>
      </w:r>
      <w:r>
        <w:rPr>
          <w:rFonts w:hint="eastAsia" w:ascii="仿宋" w:hAnsi="仿宋" w:eastAsia="仿宋" w:cs="Times New Roman"/>
          <w:color w:val="auto"/>
          <w:sz w:val="24"/>
        </w:rPr>
        <w:t>结算：按照甲乙双方实际确认使用</w:t>
      </w:r>
      <w:r>
        <w:rPr>
          <w:rFonts w:hint="eastAsia" w:ascii="仿宋" w:hAnsi="仿宋" w:eastAsia="仿宋" w:cs="Times New Roman"/>
          <w:color w:val="auto"/>
          <w:sz w:val="24"/>
          <w:lang w:val="en-US" w:eastAsia="zh-CN"/>
        </w:rPr>
        <w:t>数量</w:t>
      </w:r>
      <w:r>
        <w:rPr>
          <w:rFonts w:hint="eastAsia" w:ascii="仿宋" w:hAnsi="仿宋" w:eastAsia="仿宋" w:cs="Times New Roman"/>
          <w:color w:val="auto"/>
          <w:sz w:val="24"/>
        </w:rPr>
        <w:t>为准。本合同的暂定（含税）总价为人民币</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元（大写：</w:t>
      </w:r>
      <w:r>
        <w:rPr>
          <w:rFonts w:hint="eastAsia" w:ascii="仿宋" w:hAnsi="仿宋" w:eastAsia="仿宋" w:cs="Times New Roman"/>
          <w:color w:val="auto"/>
          <w:sz w:val="24"/>
          <w:lang w:val="en-US" w:eastAsia="zh-CN"/>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），其中不含增值税总价</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元（大写：</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），增值税</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元（大写：</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），增值税按不含增值</w:t>
      </w:r>
      <w:r>
        <w:rPr>
          <w:rFonts w:hint="eastAsia" w:ascii="仿宋" w:hAnsi="仿宋" w:eastAsia="仿宋" w:cs="Times New Roman"/>
          <w:color w:val="auto"/>
          <w:sz w:val="24"/>
          <w:highlight w:val="none"/>
        </w:rPr>
        <w:t>税总价的</w:t>
      </w:r>
      <w:r>
        <w:rPr>
          <w:rFonts w:hint="eastAsia" w:ascii="仿宋" w:hAnsi="仿宋" w:eastAsia="仿宋" w:cs="Times New Roman"/>
          <w:color w:val="auto"/>
          <w:sz w:val="24"/>
          <w:highlight w:val="none"/>
          <w:u w:val="single"/>
        </w:rPr>
        <w:t xml:space="preserve"> </w:t>
      </w:r>
      <w:r>
        <w:rPr>
          <w:rFonts w:hint="eastAsia" w:ascii="仿宋" w:hAnsi="仿宋" w:eastAsia="仿宋" w:cs="Times New Roman"/>
          <w:color w:val="auto"/>
          <w:sz w:val="24"/>
          <w:highlight w:val="none"/>
          <w:u w:val="single"/>
          <w:lang w:val="en-US" w:eastAsia="zh-CN"/>
        </w:rPr>
        <w:t xml:space="preserve">  </w:t>
      </w:r>
      <w:r>
        <w:rPr>
          <w:rFonts w:hint="eastAsia" w:ascii="仿宋" w:hAnsi="仿宋" w:eastAsia="仿宋" w:cs="Times New Roman"/>
          <w:color w:val="auto"/>
          <w:sz w:val="24"/>
          <w:highlight w:val="none"/>
          <w:u w:val="single"/>
        </w:rPr>
        <w:t xml:space="preserve"> %</w:t>
      </w:r>
      <w:r>
        <w:rPr>
          <w:rFonts w:hint="eastAsia" w:ascii="仿宋" w:hAnsi="仿宋" w:eastAsia="仿宋" w:cs="Times New Roman"/>
          <w:color w:val="auto"/>
          <w:sz w:val="24"/>
          <w:highlight w:val="none"/>
        </w:rPr>
        <w:t>单列</w:t>
      </w:r>
      <w:r>
        <w:rPr>
          <w:rStyle w:val="12"/>
          <w:rFonts w:hint="eastAsia" w:ascii="仿宋" w:hAnsi="仿宋" w:eastAsia="仿宋" w:cs="宋体"/>
          <w:b w:val="0"/>
          <w:color w:val="auto"/>
          <w:sz w:val="24"/>
          <w:highlight w:val="none"/>
        </w:rPr>
        <w:t>（增值税税率随国家政策和适用税率同步调整）</w:t>
      </w:r>
      <w:r>
        <w:rPr>
          <w:rFonts w:hint="eastAsia" w:ascii="仿宋" w:hAnsi="仿宋" w:eastAsia="仿宋" w:cs="Times New Roman"/>
          <w:color w:val="auto"/>
          <w:sz w:val="24"/>
          <w:highlight w:val="none"/>
        </w:rPr>
        <w:t>；本合同暂定总价不作为双方最终结算的依据。结算租赁</w:t>
      </w:r>
      <w:r>
        <w:rPr>
          <w:rFonts w:hint="eastAsia" w:ascii="仿宋" w:hAnsi="仿宋" w:eastAsia="仿宋" w:cs="Times New Roman"/>
          <w:color w:val="auto"/>
          <w:sz w:val="24"/>
          <w:highlight w:val="none"/>
          <w:lang w:val="en-US" w:eastAsia="zh-CN"/>
        </w:rPr>
        <w:t>时间、数量</w:t>
      </w:r>
      <w:r>
        <w:rPr>
          <w:rFonts w:hint="eastAsia" w:ascii="仿宋" w:hAnsi="仿宋" w:eastAsia="仿宋" w:cs="Times New Roman"/>
          <w:color w:val="auto"/>
          <w:sz w:val="24"/>
          <w:highlight w:val="none"/>
        </w:rPr>
        <w:t>按实际发生的、且每月得到甲方项目经理部签认的为准</w:t>
      </w:r>
      <w:r>
        <w:rPr>
          <w:rFonts w:hint="eastAsia" w:ascii="仿宋" w:hAnsi="仿宋" w:eastAsia="仿宋" w:cs="Times New Roman"/>
          <w:sz w:val="24"/>
          <w:highlight w:val="none"/>
        </w:rPr>
        <w:t>。</w:t>
      </w:r>
    </w:p>
    <w:p w14:paraId="29162A22">
      <w:pPr>
        <w:spacing w:line="360" w:lineRule="auto"/>
        <w:ind w:firstLine="480" w:firstLineChars="200"/>
        <w:jc w:val="left"/>
        <w:rPr>
          <w:rFonts w:ascii="仿宋" w:hAnsi="仿宋" w:eastAsia="仿宋" w:cs="Times New Roman"/>
          <w:sz w:val="24"/>
          <w:highlight w:val="none"/>
        </w:rPr>
      </w:pPr>
      <w:r>
        <w:rPr>
          <w:rFonts w:hint="eastAsia" w:ascii="仿宋" w:hAnsi="仿宋" w:eastAsia="仿宋" w:cs="Times New Roman"/>
          <w:sz w:val="24"/>
          <w:highlight w:val="none"/>
        </w:rPr>
        <w:t>2、结算方式：原则上每月</w:t>
      </w:r>
      <w:r>
        <w:rPr>
          <w:rFonts w:hint="eastAsia" w:ascii="仿宋" w:hAnsi="仿宋" w:eastAsia="仿宋" w:cs="Times New Roman"/>
          <w:sz w:val="24"/>
          <w:highlight w:val="none"/>
          <w:u w:val="single"/>
        </w:rPr>
        <w:t xml:space="preserve"> </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u w:val="single"/>
        </w:rPr>
        <w:t xml:space="preserve"> </w:t>
      </w:r>
      <w:r>
        <w:rPr>
          <w:rFonts w:hint="eastAsia" w:ascii="仿宋" w:hAnsi="仿宋" w:eastAsia="仿宋" w:cs="Times New Roman"/>
          <w:sz w:val="24"/>
          <w:highlight w:val="none"/>
        </w:rPr>
        <w:t>日前甲方支付上月租赁费用</w:t>
      </w:r>
      <w:r>
        <w:rPr>
          <w:rFonts w:hint="eastAsia" w:ascii="仿宋" w:hAnsi="仿宋" w:eastAsia="仿宋" w:cs="Times New Roman"/>
          <w:sz w:val="24"/>
          <w:highlight w:val="none"/>
          <w:lang w:val="en-US" w:eastAsia="zh-CN"/>
        </w:rPr>
        <w:t>金额</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rPr>
        <w:t>。每月</w:t>
      </w:r>
      <w:r>
        <w:rPr>
          <w:rFonts w:hint="eastAsia" w:ascii="仿宋" w:hAnsi="仿宋" w:eastAsia="仿宋" w:cs="Times New Roman"/>
          <w:sz w:val="24"/>
          <w:highlight w:val="none"/>
          <w:u w:val="single"/>
        </w:rPr>
        <w:t xml:space="preserve"> </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rPr>
        <w:t>日前并自乙方发出租赁结算表五日内，甲方项目经理部对租赁结算表中所载租赁设备数量、租赁日期及租金进行确认，并将其中两份原件交还乙方。若对租赁结算表中的数据存在争议，甲方在乙方发出租赁结算表五日内以书面形式提出，对有争议部分，双方本着实事求是的原则协商解决，但不影响无争议的结算确认及款项支付。</w:t>
      </w:r>
    </w:p>
    <w:p w14:paraId="3B0494D7">
      <w:pPr>
        <w:spacing w:line="360" w:lineRule="auto"/>
        <w:ind w:firstLine="480" w:firstLineChars="200"/>
        <w:jc w:val="left"/>
        <w:rPr>
          <w:rFonts w:hint="eastAsia" w:ascii="仿宋" w:hAnsi="仿宋" w:eastAsia="仿宋" w:cs="Times New Roman"/>
          <w:sz w:val="24"/>
          <w:highlight w:val="none"/>
        </w:rPr>
      </w:pPr>
      <w:r>
        <w:rPr>
          <w:rFonts w:hint="eastAsia" w:ascii="仿宋" w:hAnsi="仿宋" w:eastAsia="仿宋" w:cs="Times New Roman"/>
          <w:sz w:val="24"/>
          <w:highlight w:val="none"/>
        </w:rPr>
        <w:t>3、本合同清单综合单价和不含增值税总价包括：机械设备租金、机械设备进退场费、</w:t>
      </w:r>
      <w:r>
        <w:rPr>
          <w:rFonts w:hint="eastAsia" w:ascii="仿宋" w:hAnsi="仿宋" w:eastAsia="仿宋" w:cs="Times New Roman"/>
          <w:sz w:val="24"/>
          <w:highlight w:val="none"/>
          <w:lang w:val="en-US" w:eastAsia="zh-CN"/>
        </w:rPr>
        <w:t>机械燃油费、</w:t>
      </w:r>
      <w:r>
        <w:rPr>
          <w:rFonts w:hint="eastAsia" w:ascii="仿宋" w:hAnsi="仿宋" w:eastAsia="仿宋" w:cs="Times New Roman"/>
          <w:sz w:val="24"/>
          <w:highlight w:val="none"/>
        </w:rPr>
        <w:t>管理费、利润、除增值税以外的一切税费（包括但不限于为实施本合同应缴纳的企业所得税、个人所得税、印花税、资源税、城市维护建设税、教育费附加、地方教育附加、堤围防护费等），以及施工点安全维护、保证自身人员安全设施的费用。</w:t>
      </w:r>
    </w:p>
    <w:p w14:paraId="20DE4D2F">
      <w:pPr>
        <w:spacing w:line="360" w:lineRule="auto"/>
        <w:ind w:firstLine="480" w:firstLineChars="200"/>
        <w:rPr>
          <w:rFonts w:hint="eastAsia" w:ascii="仿宋" w:hAnsi="仿宋" w:eastAsia="仿宋" w:cs="Times New Roman"/>
          <w:sz w:val="24"/>
          <w:highlight w:val="none"/>
        </w:rPr>
      </w:pPr>
      <w:r>
        <w:rPr>
          <w:rFonts w:hint="eastAsia" w:ascii="仿宋" w:hAnsi="仿宋" w:eastAsia="仿宋" w:cs="Times New Roman"/>
          <w:sz w:val="24"/>
          <w:highlight w:val="none"/>
        </w:rPr>
        <w:t>4、本合同涉及的所有支付均由甲方支付到乙方在合同约定的银行账户，无特殊情况下，甲方不接受乙方提供的任何第三方</w:t>
      </w:r>
      <w:r>
        <w:rPr>
          <w:rFonts w:hint="eastAsia" w:ascii="仿宋" w:hAnsi="仿宋" w:eastAsia="仿宋" w:cs="Times New Roman"/>
          <w:sz w:val="24"/>
          <w:highlight w:val="none"/>
          <w:lang w:val="en-US" w:eastAsia="zh-CN"/>
        </w:rPr>
        <w:t>收款</w:t>
      </w:r>
      <w:r>
        <w:rPr>
          <w:rFonts w:hint="eastAsia" w:ascii="仿宋" w:hAnsi="仿宋" w:eastAsia="仿宋" w:cs="Times New Roman"/>
          <w:sz w:val="24"/>
          <w:highlight w:val="none"/>
        </w:rPr>
        <w:t>银行账户或委托</w:t>
      </w:r>
      <w:r>
        <w:rPr>
          <w:rFonts w:hint="eastAsia" w:ascii="仿宋" w:hAnsi="仿宋" w:eastAsia="仿宋" w:cs="Times New Roman"/>
          <w:sz w:val="24"/>
          <w:highlight w:val="none"/>
          <w:lang w:val="en-US" w:eastAsia="zh-CN"/>
        </w:rPr>
        <w:t>收款</w:t>
      </w:r>
      <w:r>
        <w:rPr>
          <w:rFonts w:hint="eastAsia" w:ascii="仿宋" w:hAnsi="仿宋" w:eastAsia="仿宋" w:cs="Times New Roman"/>
          <w:sz w:val="24"/>
          <w:highlight w:val="none"/>
        </w:rPr>
        <w:t>。</w:t>
      </w:r>
    </w:p>
    <w:p w14:paraId="220586B3">
      <w:pPr>
        <w:spacing w:line="360" w:lineRule="auto"/>
        <w:ind w:firstLine="480" w:firstLineChars="200"/>
        <w:rPr>
          <w:rFonts w:hint="eastAsia" w:ascii="仿宋" w:hAnsi="仿宋" w:eastAsia="仿宋" w:cs="Times New Roman"/>
          <w:sz w:val="24"/>
          <w:highlight w:val="none"/>
        </w:rPr>
      </w:pPr>
      <w:r>
        <w:rPr>
          <w:rFonts w:hint="eastAsia" w:ascii="仿宋" w:hAnsi="仿宋" w:eastAsia="仿宋" w:cs="Times New Roman"/>
          <w:sz w:val="24"/>
          <w:highlight w:val="none"/>
        </w:rPr>
        <w:t>5、乙方应在每期结算确认后，在甲方租金支付前，根据合同内容和结算书内容向甲方出具相应增值税发票。以上条件不满足时，乙方不得向甲方申请支付款项，甲方有权停止支付且由乙方自身承担风险。</w:t>
      </w:r>
    </w:p>
    <w:p w14:paraId="01BEA601">
      <w:pPr>
        <w:spacing w:line="360" w:lineRule="auto"/>
        <w:ind w:firstLine="480" w:firstLineChars="200"/>
        <w:rPr>
          <w:rFonts w:hint="eastAsia" w:ascii="仿宋" w:hAnsi="仿宋" w:eastAsia="仿宋" w:cs="Times New Roman"/>
          <w:sz w:val="24"/>
          <w:highlight w:val="none"/>
        </w:rPr>
      </w:pPr>
      <w:r>
        <w:rPr>
          <w:rFonts w:hint="eastAsia" w:ascii="仿宋" w:hAnsi="仿宋" w:eastAsia="仿宋" w:cs="Times New Roman"/>
          <w:sz w:val="24"/>
          <w:highlight w:val="none"/>
        </w:rPr>
        <w:t>乙方向甲方开具发票的金额（价税合计）需严格依据“累计确认结算量与资金支付量孰高原则”。</w:t>
      </w:r>
    </w:p>
    <w:p w14:paraId="249CFE36">
      <w:pPr>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发票票面记载信息需符合“三流一致”原则，包括：①销售方信息需与货物或应税劳务、服务实际提供单位（即乙方）一致，并与实际收款人（即乙方）一致；②货物或应税劳务、服务名称等需与实际业务内容一致。③税率、税额信息与本合同单列的增值税税率、税额一致。④发票类别（增值税专用发票）与本项目的计税方法（一般计税方法或简易计税方法）匹配。</w:t>
      </w:r>
    </w:p>
    <w:p w14:paraId="4E5BF5D7">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6、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w:t>
      </w:r>
      <w:r>
        <w:rPr>
          <w:rFonts w:hint="eastAsia" w:ascii="仿宋" w:hAnsi="仿宋" w:eastAsia="仿宋" w:cs="Times New Roman"/>
          <w:sz w:val="24"/>
          <w:lang w:val="en-US" w:eastAsia="zh-CN"/>
        </w:rPr>
        <w:t>利益受损</w:t>
      </w:r>
      <w:r>
        <w:rPr>
          <w:rFonts w:hint="eastAsia" w:ascii="仿宋" w:hAnsi="仿宋" w:eastAsia="仿宋" w:cs="Times New Roman"/>
          <w:sz w:val="24"/>
        </w:rPr>
        <w:t>的，全部损失由乙方承担。</w:t>
      </w:r>
    </w:p>
    <w:p w14:paraId="6443FE2B">
      <w:pPr>
        <w:spacing w:line="360" w:lineRule="auto"/>
        <w:ind w:firstLine="480" w:firstLineChars="200"/>
        <w:jc w:val="left"/>
        <w:rPr>
          <w:rFonts w:hint="eastAsia" w:ascii="仿宋" w:hAnsi="仿宋" w:eastAsia="仿宋" w:cs="Times New Roman"/>
          <w:sz w:val="24"/>
        </w:rPr>
      </w:pPr>
      <w:r>
        <w:rPr>
          <w:rFonts w:hint="eastAsia" w:ascii="仿宋" w:hAnsi="仿宋" w:eastAsia="仿宋" w:cs="Times New Roman"/>
          <w:sz w:val="24"/>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w:t>
      </w:r>
      <w:r>
        <w:rPr>
          <w:rFonts w:hint="eastAsia" w:ascii="仿宋" w:hAnsi="仿宋" w:eastAsia="仿宋" w:cs="Times New Roman"/>
          <w:sz w:val="24"/>
          <w:lang w:val="en-US" w:eastAsia="zh-CN"/>
        </w:rPr>
        <w:t>赔偿</w:t>
      </w:r>
      <w:r>
        <w:rPr>
          <w:rFonts w:hint="eastAsia" w:ascii="仿宋" w:hAnsi="仿宋" w:eastAsia="仿宋" w:cs="Times New Roman"/>
          <w:sz w:val="24"/>
        </w:rPr>
        <w:t>相应进项税额3倍的</w:t>
      </w:r>
      <w:r>
        <w:rPr>
          <w:rFonts w:hint="eastAsia" w:ascii="仿宋" w:hAnsi="仿宋" w:eastAsia="仿宋" w:cs="Times New Roman"/>
          <w:sz w:val="24"/>
          <w:lang w:val="en-US" w:eastAsia="zh-CN"/>
        </w:rPr>
        <w:t>违约金</w:t>
      </w:r>
      <w:r>
        <w:rPr>
          <w:rFonts w:hint="eastAsia" w:ascii="仿宋" w:hAnsi="仿宋" w:eastAsia="仿宋" w:cs="Times New Roman"/>
          <w:sz w:val="24"/>
        </w:rPr>
        <w:t>。</w:t>
      </w:r>
    </w:p>
    <w:p w14:paraId="2C707DD6">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五、设备的进退场费用：</w:t>
      </w:r>
    </w:p>
    <w:p w14:paraId="1463026C">
      <w:pPr>
        <w:spacing w:line="360" w:lineRule="auto"/>
        <w:ind w:firstLine="480" w:firstLineChars="200"/>
        <w:rPr>
          <w:rFonts w:hint="eastAsia" w:ascii="仿宋" w:hAnsi="仿宋" w:eastAsia="仿宋" w:cs="Times New Roman"/>
          <w:bCs/>
          <w:sz w:val="24"/>
        </w:rPr>
      </w:pPr>
      <w:r>
        <w:rPr>
          <w:rFonts w:hint="eastAsia" w:ascii="仿宋" w:hAnsi="仿宋" w:eastAsia="仿宋" w:cs="Times New Roman"/>
          <w:bCs/>
          <w:sz w:val="24"/>
        </w:rPr>
        <w:t>设备起租前的进场费用由</w:t>
      </w:r>
      <w:r>
        <w:rPr>
          <w:rFonts w:hint="eastAsia" w:ascii="仿宋" w:hAnsi="仿宋" w:eastAsia="仿宋" w:cs="Times New Roman"/>
          <w:bCs/>
          <w:sz w:val="24"/>
          <w:u w:val="single"/>
        </w:rPr>
        <w:t xml:space="preserve">  </w:t>
      </w:r>
      <w:r>
        <w:rPr>
          <w:rFonts w:hint="eastAsia" w:ascii="仿宋" w:hAnsi="仿宋" w:eastAsia="仿宋" w:cs="Times New Roman"/>
          <w:bCs/>
          <w:sz w:val="24"/>
          <w:u w:val="single"/>
          <w:lang w:val="en-US" w:eastAsia="zh-CN"/>
        </w:rPr>
        <w:t xml:space="preserve">  </w:t>
      </w:r>
      <w:r>
        <w:rPr>
          <w:rFonts w:hint="eastAsia" w:ascii="仿宋" w:hAnsi="仿宋" w:eastAsia="仿宋" w:cs="Times New Roman"/>
          <w:bCs/>
          <w:sz w:val="24"/>
          <w:u w:val="single"/>
        </w:rPr>
        <w:t xml:space="preserve"> </w:t>
      </w:r>
      <w:r>
        <w:rPr>
          <w:rFonts w:hint="eastAsia" w:ascii="仿宋" w:hAnsi="仿宋" w:eastAsia="仿宋" w:cs="Times New Roman"/>
          <w:bCs/>
          <w:sz w:val="24"/>
        </w:rPr>
        <w:t>方负责，止租后的退场费用由</w:t>
      </w:r>
      <w:r>
        <w:rPr>
          <w:rFonts w:hint="eastAsia" w:ascii="仿宋" w:hAnsi="仿宋" w:eastAsia="仿宋" w:cs="Times New Roman"/>
          <w:bCs/>
          <w:sz w:val="24"/>
          <w:u w:val="single"/>
        </w:rPr>
        <w:t xml:space="preserve"> </w:t>
      </w:r>
      <w:r>
        <w:rPr>
          <w:rFonts w:hint="eastAsia" w:ascii="仿宋" w:hAnsi="仿宋" w:eastAsia="仿宋" w:cs="Times New Roman"/>
          <w:bCs/>
          <w:sz w:val="24"/>
          <w:u w:val="single"/>
          <w:lang w:val="en-US" w:eastAsia="zh-CN"/>
        </w:rPr>
        <w:t xml:space="preserve"> </w:t>
      </w:r>
      <w:r>
        <w:rPr>
          <w:rFonts w:hint="eastAsia" w:ascii="仿宋" w:hAnsi="仿宋" w:eastAsia="仿宋" w:cs="Times New Roman"/>
          <w:bCs/>
          <w:sz w:val="24"/>
          <w:u w:val="single"/>
        </w:rPr>
        <w:t xml:space="preserve"> </w:t>
      </w:r>
      <w:r>
        <w:rPr>
          <w:rFonts w:hint="eastAsia" w:ascii="仿宋" w:hAnsi="仿宋" w:eastAsia="仿宋" w:cs="Times New Roman"/>
          <w:bCs/>
          <w:sz w:val="24"/>
        </w:rPr>
        <w:t>方负责。</w:t>
      </w:r>
    </w:p>
    <w:p w14:paraId="1D885CD8">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六、甲方的权利义务：</w:t>
      </w:r>
    </w:p>
    <w:p w14:paraId="452F3A41">
      <w:pPr>
        <w:spacing w:line="360" w:lineRule="auto"/>
        <w:ind w:firstLine="480" w:firstLineChars="200"/>
        <w:rPr>
          <w:rFonts w:hint="eastAsia" w:ascii="仿宋" w:hAnsi="仿宋" w:eastAsia="仿宋" w:cs="Times New Roman"/>
          <w:sz w:val="24"/>
          <w:highlight w:val="none"/>
        </w:rPr>
      </w:pPr>
      <w:r>
        <w:rPr>
          <w:rFonts w:hint="eastAsia" w:ascii="仿宋" w:hAnsi="仿宋" w:eastAsia="仿宋" w:cs="Times New Roman"/>
          <w:sz w:val="24"/>
          <w:highlight w:val="none"/>
        </w:rPr>
        <w:t>1、甲方拥有本合同所出租设备</w:t>
      </w:r>
      <w:r>
        <w:rPr>
          <w:rFonts w:hint="eastAsia" w:ascii="仿宋" w:hAnsi="仿宋" w:eastAsia="仿宋" w:cs="Times New Roman"/>
          <w:sz w:val="24"/>
          <w:highlight w:val="none"/>
          <w:lang w:eastAsia="zh-CN"/>
        </w:rPr>
        <w:t>、</w:t>
      </w:r>
      <w:r>
        <w:rPr>
          <w:rFonts w:hint="eastAsia" w:ascii="仿宋" w:hAnsi="仿宋" w:eastAsia="仿宋" w:cs="Times New Roman"/>
          <w:sz w:val="24"/>
          <w:highlight w:val="none"/>
          <w:lang w:val="en-US" w:eastAsia="zh-CN"/>
        </w:rPr>
        <w:t>材料</w:t>
      </w:r>
      <w:r>
        <w:rPr>
          <w:rFonts w:hint="eastAsia" w:ascii="仿宋" w:hAnsi="仿宋" w:eastAsia="仿宋" w:cs="Times New Roman"/>
          <w:sz w:val="24"/>
          <w:highlight w:val="none"/>
        </w:rPr>
        <w:t>的使用权，在双方确定的合同租期内，不受使用时间的限制，</w:t>
      </w:r>
      <w:r>
        <w:rPr>
          <w:rFonts w:hint="eastAsia" w:ascii="仿宋" w:hAnsi="仿宋" w:eastAsia="仿宋" w:cs="Times New Roman"/>
          <w:sz w:val="24"/>
          <w:highlight w:val="none"/>
          <w:u w:val="single"/>
          <w:lang w:val="en-US" w:eastAsia="zh-CN"/>
        </w:rPr>
        <w:t>作业人员甲方自行安排</w:t>
      </w:r>
      <w:r>
        <w:rPr>
          <w:rFonts w:hint="eastAsia" w:ascii="仿宋" w:hAnsi="仿宋" w:eastAsia="仿宋" w:cs="Times New Roman"/>
          <w:sz w:val="24"/>
          <w:highlight w:val="none"/>
        </w:rPr>
        <w:t>。</w:t>
      </w:r>
    </w:p>
    <w:p w14:paraId="783D61BB">
      <w:pPr>
        <w:spacing w:line="360" w:lineRule="auto"/>
        <w:ind w:firstLine="480" w:firstLineChars="200"/>
        <w:rPr>
          <w:rFonts w:ascii="仿宋" w:hAnsi="仿宋" w:eastAsia="仿宋" w:cs="Times New Roman"/>
          <w:sz w:val="24"/>
        </w:rPr>
      </w:pPr>
      <w:r>
        <w:rPr>
          <w:rFonts w:hint="eastAsia" w:ascii="仿宋" w:hAnsi="仿宋" w:eastAsia="仿宋" w:cs="Times New Roman"/>
          <w:sz w:val="24"/>
        </w:rPr>
        <w:t>2、机械设备在租赁期内所需的燃油由</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方负担，其余油料、配件及维修保养等费用均由乙方自行承担。</w:t>
      </w:r>
    </w:p>
    <w:p w14:paraId="4C529FA9">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3、未经乙方同意，甲方不得将租赁设备向第三方转让、转租及抵押，以及转换其他项目使用。</w:t>
      </w:r>
    </w:p>
    <w:p w14:paraId="5BDFA377">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4、设备进场后由甲方负责安排人员值班保管（设备停置妥当、熄火并锁好车门）；如因甲方原因造成乙方设备失盗、人为毁损，甲方按双方协商确定的评估机构的估价赔偿乙方。</w:t>
      </w:r>
    </w:p>
    <w:p w14:paraId="6057CDAD">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5、若租赁设备在甲方正常使用中出现性能问题或经常发生故障而影响甲方使用时，甲方有权要求乙方换机或退租，由此产生的相关费用由乙方负责；若造成甲方损失的，乙方应承担相应的赔偿责任。</w:t>
      </w:r>
    </w:p>
    <w:p w14:paraId="4501ABC7">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6、甲方负责向机手宣贯甲方的规章制度、安全操作规程及安全生产施工要求，并负责提供食宿安排。</w:t>
      </w:r>
    </w:p>
    <w:p w14:paraId="1FD71823">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7、因不可抗力因素造成租赁设备的损失，甲方做好配合与协助工作，但不承担修复及赔偿责任。</w:t>
      </w:r>
    </w:p>
    <w:p w14:paraId="7F212AF9">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8、乙方设备不配机手时，甲方应保证安全、正常地使用设备，并遵守国家有关法律法规。因乙方设备状况不良而引致的任何损失，免除甲方责任，由乙方负责相应的费用。</w:t>
      </w:r>
    </w:p>
    <w:p w14:paraId="4A9D59CC">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七、乙方的权利义务</w:t>
      </w:r>
    </w:p>
    <w:p w14:paraId="54F70041">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1、乙方承诺其拥有本合同出租设备</w:t>
      </w:r>
      <w:r>
        <w:rPr>
          <w:rFonts w:hint="eastAsia" w:ascii="仿宋" w:hAnsi="仿宋" w:eastAsia="仿宋" w:cs="Times New Roman"/>
          <w:sz w:val="24"/>
          <w:lang w:eastAsia="zh-CN"/>
        </w:rPr>
        <w:t>、</w:t>
      </w:r>
      <w:r>
        <w:rPr>
          <w:rFonts w:hint="eastAsia" w:ascii="仿宋" w:hAnsi="仿宋" w:eastAsia="仿宋" w:cs="Times New Roman"/>
          <w:sz w:val="24"/>
          <w:lang w:val="en-US" w:eastAsia="zh-CN"/>
        </w:rPr>
        <w:t>材料</w:t>
      </w:r>
      <w:r>
        <w:rPr>
          <w:rFonts w:hint="eastAsia" w:ascii="仿宋" w:hAnsi="仿宋" w:eastAsia="仿宋" w:cs="Times New Roman"/>
          <w:sz w:val="24"/>
        </w:rPr>
        <w:t>的所有权，不存在权利瑕疵，在租给甲方使用期间，确保甲方不受第三方主张权利。</w:t>
      </w:r>
    </w:p>
    <w:p w14:paraId="4E363A1C">
      <w:pPr>
        <w:spacing w:line="360" w:lineRule="auto"/>
        <w:ind w:firstLine="482" w:firstLineChars="200"/>
        <w:rPr>
          <w:rFonts w:ascii="仿宋" w:hAnsi="仿宋" w:eastAsia="仿宋" w:cs="Times New Roman"/>
          <w:sz w:val="24"/>
        </w:rPr>
      </w:pPr>
      <w:r>
        <w:rPr>
          <w:rFonts w:hint="eastAsia" w:ascii="仿宋" w:hAnsi="仿宋" w:eastAsia="仿宋" w:cs="Times New Roman"/>
          <w:b/>
          <w:bCs/>
          <w:sz w:val="24"/>
        </w:rPr>
        <w:t>乙方须向甲方出具设备的所有权证书以及购买凭证（购买合同、发票等可证明权属的有效凭证），前述凭证复印件应加盖乙方公章并作为本合同附件列明。如乙方未能提供以上凭证或提供虚假资料的，甲方有权单方面解除合同。</w:t>
      </w:r>
    </w:p>
    <w:p w14:paraId="3F122961">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2、乙方所提供的设备必须是正规厂家生产的合格机械设备，且技术性能良好、设备状况良好，可随时投入甲方施工使用；乙方设备的时间记录和油位必须完好，设备配件、备件工具与出租清单一致，设备由合法途径取得且无不良记录。</w:t>
      </w:r>
    </w:p>
    <w:p w14:paraId="112925EA">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3、乙方负责设备的保养与维修，设备保养、维修、故障修理所发生的保养费用、维修费、换件费、油脂费、人工费等均由乙方负责。。</w:t>
      </w:r>
    </w:p>
    <w:p w14:paraId="36F6A963">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4、乙方应确保设备处于良好的使用状态，应配备常用的机械配件，尽量减少设备故障率。由于保养不当或维修不及时造成甲方无法正常使用设备而需另租时，按</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元/</w:t>
      </w:r>
      <w:r>
        <w:rPr>
          <w:rFonts w:hint="eastAsia" w:ascii="仿宋" w:hAnsi="仿宋" w:eastAsia="仿宋" w:cs="Times New Roman"/>
          <w:sz w:val="24"/>
        </w:rPr>
        <w:t>日扣减乙方租金，直至甲方另租到相应设备时为止，同时由乙方承担甲方另租设备所发生的一切费用；如因乙方保养不当造成设备排污达不到相关标准而被环保部门罚款时，由乙方负责。</w:t>
      </w:r>
    </w:p>
    <w:p w14:paraId="0F0A01EB">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lang w:val="en-US" w:eastAsia="zh-CN"/>
        </w:rPr>
        <w:t>5</w:t>
      </w:r>
      <w:r>
        <w:rPr>
          <w:rFonts w:hint="eastAsia" w:ascii="仿宋" w:hAnsi="仿宋" w:eastAsia="仿宋" w:cs="Times New Roman"/>
          <w:sz w:val="24"/>
        </w:rPr>
        <w:t>、乙方应在设备上配备常用的配件、备件工具，若乙方设备发生故障，为保证本项目工作的顺利完成，甲方有权电话知会乙方后进行快速抢修，所发生的费用从租赁费用中扣回。</w:t>
      </w:r>
    </w:p>
    <w:p w14:paraId="6CD7BCBB">
      <w:pPr>
        <w:spacing w:line="360" w:lineRule="auto"/>
        <w:ind w:firstLine="482" w:firstLineChars="200"/>
        <w:rPr>
          <w:rFonts w:hint="eastAsia" w:ascii="仿宋" w:hAnsi="仿宋" w:eastAsia="仿宋" w:cs="Times New Roman"/>
          <w:b/>
          <w:bCs/>
          <w:sz w:val="24"/>
        </w:rPr>
      </w:pPr>
      <w:r>
        <w:rPr>
          <w:rFonts w:hint="eastAsia" w:ascii="仿宋" w:hAnsi="仿宋" w:eastAsia="仿宋" w:cs="Times New Roman"/>
          <w:b/>
          <w:bCs/>
          <w:sz w:val="24"/>
        </w:rPr>
        <w:t>八、违约责任</w:t>
      </w:r>
    </w:p>
    <w:p w14:paraId="2F265F48">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1、甲方无故逾期支付租赁费用达</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日，乙方有权中止履行合同并调回机械设备，直至甲方付清租赁费用为止。</w:t>
      </w:r>
    </w:p>
    <w:p w14:paraId="107908B1">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lang w:val="en-US" w:eastAsia="zh-CN"/>
        </w:rPr>
        <w:t>2</w:t>
      </w:r>
      <w:r>
        <w:rPr>
          <w:rFonts w:hint="eastAsia" w:ascii="仿宋" w:hAnsi="仿宋" w:eastAsia="仿宋" w:cs="Times New Roman"/>
          <w:sz w:val="24"/>
        </w:rPr>
        <w:t>、如乙方无故未依时调遣相应机械设备入场作业的，则从逾期的第一天起，每逾期一天则按合同暂定金额的万分之三向甲方支付违约金，直到设备入场作业为止。逾期超过15日的，甲方有权解除合同并要求乙方支付合同暂定金额的5%作为违约金；甲方选择继续履行合同的，乙方仍须支付逾期调遣机械设备违约金。</w:t>
      </w:r>
    </w:p>
    <w:p w14:paraId="44508ED2">
      <w:pPr>
        <w:spacing w:line="360" w:lineRule="auto"/>
        <w:ind w:firstLine="480" w:firstLineChars="200"/>
        <w:rPr>
          <w:rFonts w:ascii="仿宋" w:hAnsi="仿宋" w:eastAsia="仿宋" w:cs="Times New Roman"/>
          <w:sz w:val="24"/>
        </w:rPr>
      </w:pPr>
      <w:r>
        <w:rPr>
          <w:rFonts w:hint="eastAsia" w:ascii="仿宋" w:hAnsi="仿宋" w:eastAsia="仿宋" w:cs="Times New Roman"/>
          <w:sz w:val="24"/>
          <w:lang w:val="en-US" w:eastAsia="zh-CN"/>
        </w:rPr>
        <w:t>3</w:t>
      </w:r>
      <w:r>
        <w:rPr>
          <w:rFonts w:hint="eastAsia" w:ascii="仿宋" w:hAnsi="仿宋" w:eastAsia="仿宋" w:cs="Times New Roman"/>
          <w:sz w:val="24"/>
        </w:rPr>
        <w:t>、如乙方的机械设备</w:t>
      </w:r>
      <w:r>
        <w:rPr>
          <w:rFonts w:hint="eastAsia" w:ascii="仿宋" w:hAnsi="仿宋" w:eastAsia="仿宋" w:cs="Times New Roman"/>
          <w:sz w:val="24"/>
          <w:lang w:val="en-US" w:eastAsia="zh-CN"/>
        </w:rPr>
        <w:t>一个月</w:t>
      </w:r>
      <w:r>
        <w:rPr>
          <w:rFonts w:hint="eastAsia" w:ascii="仿宋" w:hAnsi="仿宋" w:eastAsia="仿宋" w:cs="Times New Roman"/>
          <w:sz w:val="24"/>
        </w:rPr>
        <w:t>多次发生故障（</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 xml:space="preserve"> 次以上）配合不了现场工程进度的，甲方有权单方解除合同并要求乙方支付本合同金额的</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w:t>
      </w:r>
      <w:r>
        <w:rPr>
          <w:rFonts w:hint="eastAsia" w:ascii="仿宋" w:hAnsi="仿宋" w:eastAsia="仿宋" w:cs="Times New Roman"/>
          <w:sz w:val="24"/>
        </w:rPr>
        <w:t>作为违约金，违约金不足以弥补工期延误对甲方所造成的经济损失的，甲方有权按照实际损失向乙方追偿。</w:t>
      </w:r>
    </w:p>
    <w:p w14:paraId="2D2799DA">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lang w:val="en-US" w:eastAsia="zh-CN"/>
        </w:rPr>
        <w:t>4</w:t>
      </w:r>
      <w:r>
        <w:rPr>
          <w:rFonts w:hint="eastAsia" w:ascii="仿宋" w:hAnsi="仿宋" w:eastAsia="仿宋" w:cs="Times New Roman"/>
          <w:sz w:val="24"/>
        </w:rPr>
        <w:t>、甲方不对乙方提供的机械设备的商标、专利等知识产权以及设备所有权是否侵犯第三方权利负责。对于因乙方机械设备导致的知识产权、所有权争议或违法行为，甲方有权单方以书面通知解除本合同，并不承担任何违约责任，由乙方负责与第三方交涉、参加诉讼进行抗辩，并承担由此引起的一切法律和经济上的责任。如造成甲方损失的，甲方有权向乙方追偿。</w:t>
      </w:r>
    </w:p>
    <w:p w14:paraId="1C41BDE3">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lang w:val="en-US" w:eastAsia="zh-CN"/>
        </w:rPr>
        <w:t>5、</w:t>
      </w:r>
      <w:r>
        <w:rPr>
          <w:rFonts w:hint="eastAsia" w:ascii="仿宋" w:hAnsi="仿宋" w:eastAsia="仿宋" w:cs="Times New Roman"/>
          <w:sz w:val="24"/>
        </w:rPr>
        <w:t>发生劳动争议仲裁或诉讼后，乙方可自行选择与</w:t>
      </w:r>
      <w:r>
        <w:rPr>
          <w:rFonts w:hint="eastAsia" w:ascii="仿宋" w:hAnsi="仿宋" w:eastAsia="仿宋" w:cs="Times New Roman"/>
          <w:sz w:val="24"/>
          <w:lang w:val="en-US" w:eastAsia="zh-CN"/>
        </w:rPr>
        <w:t>进场人员</w:t>
      </w:r>
      <w:r>
        <w:rPr>
          <w:rFonts w:hint="eastAsia" w:ascii="仿宋" w:hAnsi="仿宋" w:eastAsia="仿宋" w:cs="Times New Roman"/>
          <w:sz w:val="24"/>
        </w:rPr>
        <w:t>和解或应诉；选择应诉的，甲方将按案件标的的1.3倍暂扣乙方的</w:t>
      </w:r>
      <w:r>
        <w:rPr>
          <w:rFonts w:hint="eastAsia" w:ascii="仿宋" w:hAnsi="仿宋" w:eastAsia="仿宋" w:cs="Times New Roman"/>
          <w:sz w:val="24"/>
          <w:lang w:val="en-US" w:eastAsia="zh-CN"/>
        </w:rPr>
        <w:t>应收款项</w:t>
      </w:r>
      <w:r>
        <w:rPr>
          <w:rFonts w:hint="eastAsia" w:ascii="仿宋" w:hAnsi="仿宋" w:eastAsia="仿宋" w:cs="Times New Roman"/>
          <w:sz w:val="24"/>
        </w:rPr>
        <w:t>直至案件解决。</w:t>
      </w:r>
    </w:p>
    <w:p w14:paraId="45C92782">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九、附则</w:t>
      </w:r>
    </w:p>
    <w:p w14:paraId="6FA81F3A">
      <w:pPr>
        <w:spacing w:line="360" w:lineRule="auto"/>
        <w:ind w:firstLine="480" w:firstLineChars="200"/>
        <w:rPr>
          <w:rFonts w:hint="eastAsia" w:ascii="仿宋" w:hAnsi="仿宋" w:eastAsia="仿宋" w:cs="Times New Roman"/>
          <w:sz w:val="24"/>
        </w:rPr>
      </w:pPr>
      <w:r>
        <w:rPr>
          <w:rFonts w:ascii="仿宋" w:hAnsi="仿宋" w:eastAsia="仿宋" w:cs="Times New Roman"/>
          <w:sz w:val="24"/>
        </w:rPr>
        <w:t>1</w:t>
      </w:r>
      <w:r>
        <w:rPr>
          <w:rFonts w:hint="eastAsia" w:ascii="仿宋" w:hAnsi="仿宋" w:eastAsia="仿宋" w:cs="Times New Roman"/>
          <w:sz w:val="24"/>
        </w:rPr>
        <w:t>、甲方不允许项目部人员擅自变更本合同以及以甲方或甲方项目部名义对外借款等。甲方与乙方之间签订的任何合同、协议、补充合同、承诺书、确认单等均以甲方</w:t>
      </w:r>
      <w:r>
        <w:rPr>
          <w:rFonts w:hint="eastAsia" w:ascii="仿宋" w:hAnsi="仿宋" w:eastAsia="仿宋" w:cs="Times New Roman"/>
          <w:bCs/>
          <w:sz w:val="24"/>
        </w:rPr>
        <w:t>委派项目经理签字并加盖公司公章或公司合同专用章</w:t>
      </w:r>
      <w:r>
        <w:rPr>
          <w:rFonts w:hint="eastAsia" w:ascii="仿宋" w:hAnsi="仿宋" w:eastAsia="仿宋" w:cs="Times New Roman"/>
          <w:sz w:val="24"/>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2倍的违约金。</w:t>
      </w:r>
    </w:p>
    <w:p w14:paraId="7688C314">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2、有关本合同的一切争议，甲、乙双方应根据法律规定以及本合同的约定友好协商解决，协商不成时，可向</w:t>
      </w:r>
      <w:r>
        <w:rPr>
          <w:rFonts w:hint="eastAsia" w:ascii="仿宋" w:hAnsi="仿宋" w:eastAsia="仿宋" w:cs="Times New Roman"/>
          <w:sz w:val="24"/>
          <w:szCs w:val="24"/>
          <w:lang w:val="en-US" w:eastAsia="zh-CN"/>
        </w:rPr>
        <w:t>甲方所在地有管辖权的人民法院</w:t>
      </w:r>
      <w:r>
        <w:rPr>
          <w:rFonts w:hint="eastAsia" w:ascii="仿宋" w:hAnsi="仿宋" w:eastAsia="仿宋" w:cs="Times New Roman"/>
          <w:sz w:val="24"/>
          <w:szCs w:val="24"/>
        </w:rPr>
        <w:t>提起</w:t>
      </w:r>
      <w:r>
        <w:rPr>
          <w:rFonts w:hint="eastAsia" w:ascii="仿宋" w:hAnsi="仿宋" w:eastAsia="仿宋" w:cs="Times New Roman"/>
          <w:sz w:val="24"/>
          <w:szCs w:val="24"/>
          <w:lang w:val="en-US" w:eastAsia="zh-CN"/>
        </w:rPr>
        <w:t>诉讼</w:t>
      </w:r>
      <w:r>
        <w:rPr>
          <w:rFonts w:hint="eastAsia" w:ascii="仿宋" w:hAnsi="仿宋" w:eastAsia="仿宋" w:cs="Times New Roman"/>
          <w:sz w:val="24"/>
        </w:rPr>
        <w:t>。</w:t>
      </w:r>
    </w:p>
    <w:p w14:paraId="685BA487">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就本合同有关事项，任何一方按照下列地址送达、寄送通知等法律文件，即视为已经有效送达另一方。任务一方变更下列联系地址，应当及时书面通知另一方，另一方在收到联系地址变更的书面通知前，按照下列地址送达、寄送通知等法律文件，仍然视为有效送达。</w:t>
      </w:r>
    </w:p>
    <w:p w14:paraId="794E8A5F">
      <w:pPr>
        <w:spacing w:line="360" w:lineRule="auto"/>
        <w:ind w:firstLine="480" w:firstLineChars="200"/>
        <w:rPr>
          <w:rFonts w:hint="eastAsia" w:ascii="仿宋" w:hAnsi="仿宋" w:eastAsia="仿宋" w:cs="Times New Roman"/>
          <w:sz w:val="24"/>
          <w:u w:val="single"/>
        </w:rPr>
      </w:pPr>
      <w:r>
        <w:rPr>
          <w:rFonts w:hint="eastAsia" w:ascii="仿宋" w:hAnsi="仿宋" w:eastAsia="仿宋" w:cs="Times New Roman"/>
          <w:sz w:val="24"/>
        </w:rPr>
        <w:t>甲方地址：</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乙方地址：</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p>
    <w:p w14:paraId="7089C16D">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4、本合同未尽事宜，由甲、乙双方协商后，签订补充协议解决；</w:t>
      </w:r>
    </w:p>
    <w:p w14:paraId="7503040D">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5、本合同一式肆份，甲方执叁份，乙方执壹份，均具有同等效力；</w:t>
      </w:r>
    </w:p>
    <w:p w14:paraId="7586845C">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6、本合同在双方代表签署并加盖公章后生效，双方履行了合同中全部责任后失效。</w:t>
      </w:r>
    </w:p>
    <w:p w14:paraId="2CD20B1E">
      <w:pPr>
        <w:spacing w:line="360" w:lineRule="auto"/>
        <w:ind w:right="-874" w:rightChars="-416" w:firstLine="480" w:firstLineChars="200"/>
        <w:rPr>
          <w:rFonts w:hint="eastAsia" w:ascii="仿宋" w:hAnsi="仿宋" w:eastAsia="仿宋" w:cs="Times New Roman"/>
          <w:sz w:val="24"/>
        </w:rPr>
      </w:pPr>
    </w:p>
    <w:p w14:paraId="31B6F16F">
      <w:pPr>
        <w:autoSpaceDE w:val="0"/>
        <w:autoSpaceDN w:val="0"/>
        <w:spacing w:line="360" w:lineRule="auto"/>
        <w:ind w:left="5999" w:leftChars="228" w:hanging="5520" w:hangingChars="2300"/>
        <w:jc w:val="left"/>
        <w:rPr>
          <w:rFonts w:ascii="仿宋" w:hAnsi="仿宋" w:eastAsia="仿宋" w:cs="Times New Roman"/>
          <w:sz w:val="24"/>
        </w:rPr>
      </w:pPr>
      <w:r>
        <w:rPr>
          <w:rFonts w:hint="eastAsia" w:ascii="仿宋" w:hAnsi="仿宋" w:eastAsia="仿宋" w:cs="Times New Roman"/>
          <w:sz w:val="24"/>
        </w:rPr>
        <w:t>甲方：</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rPr>
        <w:t xml:space="preserve">（盖章) </w:t>
      </w:r>
      <w:r>
        <w:rPr>
          <w:rFonts w:hint="eastAsia" w:ascii="仿宋" w:hAnsi="仿宋" w:eastAsia="仿宋" w:cs="Times New Roman"/>
          <w:sz w:val="24"/>
          <w:lang w:val="en-US" w:eastAsia="zh-CN"/>
        </w:rPr>
        <w:t xml:space="preserve">                       </w:t>
      </w:r>
      <w:r>
        <w:rPr>
          <w:rFonts w:hint="eastAsia" w:ascii="仿宋" w:hAnsi="仿宋" w:eastAsia="仿宋" w:cs="Times New Roman"/>
          <w:sz w:val="24"/>
        </w:rPr>
        <w:t>乙方：</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（盖章）</w:t>
      </w:r>
      <w:r>
        <w:rPr>
          <w:rFonts w:ascii="仿宋" w:hAnsi="仿宋" w:eastAsia="仿宋" w:cs="Times New Roman"/>
          <w:sz w:val="24"/>
        </w:rPr>
        <w:t xml:space="preserve">                                    </w:t>
      </w:r>
    </w:p>
    <w:p w14:paraId="5387D6B1">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 xml:space="preserve">法定代表人:                            </w:t>
      </w:r>
      <w:r>
        <w:rPr>
          <w:rFonts w:hint="eastAsia" w:ascii="仿宋" w:hAnsi="仿宋" w:eastAsia="仿宋" w:cs="Times New Roman"/>
          <w:sz w:val="24"/>
          <w:lang w:val="en-US" w:eastAsia="zh-CN"/>
        </w:rPr>
        <w:t xml:space="preserve"> </w:t>
      </w:r>
      <w:r>
        <w:rPr>
          <w:rFonts w:hint="eastAsia" w:ascii="仿宋" w:hAnsi="仿宋" w:eastAsia="仿宋" w:cs="Times New Roman"/>
          <w:sz w:val="24"/>
        </w:rPr>
        <w:t>法定代表人:</w:t>
      </w:r>
    </w:p>
    <w:p w14:paraId="3C893D09">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 xml:space="preserve">或委托代理人：                         </w:t>
      </w:r>
      <w:r>
        <w:rPr>
          <w:rFonts w:hint="eastAsia" w:ascii="仿宋" w:hAnsi="仿宋" w:eastAsia="仿宋" w:cs="Times New Roman"/>
          <w:sz w:val="24"/>
          <w:lang w:val="en-US" w:eastAsia="zh-CN"/>
        </w:rPr>
        <w:t xml:space="preserve"> </w:t>
      </w:r>
      <w:r>
        <w:rPr>
          <w:rFonts w:hint="eastAsia" w:ascii="仿宋" w:hAnsi="仿宋" w:eastAsia="仿宋" w:cs="Times New Roman"/>
          <w:sz w:val="24"/>
        </w:rPr>
        <w:t xml:space="preserve">或委托代理人：         </w:t>
      </w:r>
      <w:r>
        <w:rPr>
          <w:rFonts w:ascii="仿宋" w:hAnsi="仿宋" w:eastAsia="仿宋" w:cs="Times New Roman"/>
          <w:sz w:val="24"/>
        </w:rPr>
        <w:t xml:space="preserve">     </w:t>
      </w:r>
      <w:r>
        <w:rPr>
          <w:rFonts w:hint="eastAsia" w:ascii="仿宋" w:hAnsi="仿宋" w:eastAsia="仿宋" w:cs="Times New Roman"/>
          <w:sz w:val="24"/>
        </w:rPr>
        <w:t xml:space="preserve">       </w:t>
      </w:r>
    </w:p>
    <w:p w14:paraId="77303EE3">
      <w:pPr>
        <w:spacing w:line="360" w:lineRule="auto"/>
        <w:ind w:firstLine="480" w:firstLineChars="200"/>
        <w:rPr>
          <w:rFonts w:ascii="仿宋" w:hAnsi="仿宋" w:eastAsia="仿宋" w:cs="Times New Roman"/>
          <w:sz w:val="24"/>
        </w:rPr>
      </w:pPr>
      <w:r>
        <w:rPr>
          <w:rFonts w:hint="eastAsia" w:ascii="仿宋" w:hAnsi="仿宋" w:eastAsia="仿宋" w:cs="Times New Roman"/>
          <w:sz w:val="24"/>
        </w:rPr>
        <w:t xml:space="preserve">签订时间：                             </w:t>
      </w:r>
      <w:r>
        <w:rPr>
          <w:rFonts w:hint="eastAsia" w:ascii="仿宋" w:hAnsi="仿宋" w:eastAsia="仿宋" w:cs="Times New Roman"/>
          <w:sz w:val="24"/>
          <w:lang w:val="en-US" w:eastAsia="zh-CN"/>
        </w:rPr>
        <w:t xml:space="preserve"> </w:t>
      </w:r>
      <w:r>
        <w:rPr>
          <w:rFonts w:hint="eastAsia" w:ascii="仿宋" w:hAnsi="仿宋" w:eastAsia="仿宋" w:cs="Times New Roman"/>
          <w:sz w:val="24"/>
        </w:rPr>
        <w:t>签订时间：</w:t>
      </w:r>
      <w:bookmarkEnd w:id="16"/>
    </w:p>
    <w:sectPr>
      <w:pgSz w:w="11906" w:h="16838"/>
      <w:pgMar w:top="1440" w:right="1417" w:bottom="1440" w:left="1587" w:header="851" w:footer="851"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Cambria">
    <w:panose1 w:val="02040503050406030204"/>
    <w:charset w:val="00"/>
    <w:family w:val="roman"/>
    <w:pitch w:val="default"/>
    <w:sig w:usb0="E00002FF" w:usb1="400004FF" w:usb2="00000000"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Helvetica Neue">
    <w:altName w:val="Times New Roman"/>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EE9DAC">
    <w:pPr>
      <w:pStyle w:val="21"/>
      <w:framePr w:wrap="auto" w:vAnchor="margin" w:hAnchor="text" w:yAlign="inline"/>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B74D4">
    <w:pPr>
      <w:pStyle w:val="21"/>
      <w:framePr w:wrap="auto" w:vAnchor="margin" w:hAnchor="text" w:yAlign="inline"/>
      <w:rPr>
        <w:rFonts w:hint="eastAsi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7B8537F6">
                          <w:pPr>
                            <w:pStyle w:val="4"/>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15</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7B8537F6">
                    <w:pPr>
                      <w:pStyle w:val="4"/>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15</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99867">
    <w:pPr>
      <w:pStyle w:val="4"/>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480BE1">
                          <w:pPr>
                            <w:pStyle w:val="4"/>
                            <w:rPr>
                              <w:rStyle w:val="13"/>
                            </w:rPr>
                          </w:pPr>
                          <w:r>
                            <w:rPr>
                              <w:rStyle w:val="13"/>
                            </w:rPr>
                            <w:t xml:space="preserve">第 </w:t>
                          </w:r>
                          <w:r>
                            <w:rPr>
                              <w:rStyle w:val="13"/>
                            </w:rPr>
                            <w:fldChar w:fldCharType="begin"/>
                          </w:r>
                          <w:r>
                            <w:rPr>
                              <w:rStyle w:val="13"/>
                            </w:rPr>
                            <w:instrText xml:space="preserve"> PAGE  \* MERGEFORMAT </w:instrText>
                          </w:r>
                          <w:r>
                            <w:rPr>
                              <w:rStyle w:val="13"/>
                            </w:rPr>
                            <w:fldChar w:fldCharType="separate"/>
                          </w:r>
                          <w:r>
                            <w:rPr>
                              <w:rStyle w:val="13"/>
                            </w:rPr>
                            <w:t>10</w:t>
                          </w:r>
                          <w:r>
                            <w:rPr>
                              <w:rStyle w:val="13"/>
                            </w:rPr>
                            <w:fldChar w:fldCharType="end"/>
                          </w:r>
                          <w:r>
                            <w:rPr>
                              <w:rStyle w:val="13"/>
                            </w:rPr>
                            <w:t xml:space="preserve"> 页 共 </w:t>
                          </w:r>
                          <w:r>
                            <w:rPr>
                              <w:rStyle w:val="13"/>
                            </w:rPr>
                            <w:fldChar w:fldCharType="begin"/>
                          </w:r>
                          <w:r>
                            <w:rPr>
                              <w:rStyle w:val="13"/>
                            </w:rPr>
                            <w:instrText xml:space="preserve"> NUMPAGES  \* MERGEFORMAT </w:instrText>
                          </w:r>
                          <w:r>
                            <w:rPr>
                              <w:rStyle w:val="13"/>
                            </w:rPr>
                            <w:fldChar w:fldCharType="separate"/>
                          </w:r>
                          <w:r>
                            <w:rPr>
                              <w:rStyle w:val="13"/>
                            </w:rPr>
                            <w:t>24</w:t>
                          </w:r>
                          <w:r>
                            <w:rPr>
                              <w:rStyle w:val="13"/>
                            </w:rPr>
                            <w:fldChar w:fldCharType="end"/>
                          </w:r>
                          <w:r>
                            <w:rPr>
                              <w:rStyle w:val="13"/>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7480BE1">
                    <w:pPr>
                      <w:pStyle w:val="4"/>
                      <w:rPr>
                        <w:rStyle w:val="13"/>
                      </w:rPr>
                    </w:pPr>
                    <w:r>
                      <w:rPr>
                        <w:rStyle w:val="13"/>
                      </w:rPr>
                      <w:t xml:space="preserve">第 </w:t>
                    </w:r>
                    <w:r>
                      <w:rPr>
                        <w:rStyle w:val="13"/>
                      </w:rPr>
                      <w:fldChar w:fldCharType="begin"/>
                    </w:r>
                    <w:r>
                      <w:rPr>
                        <w:rStyle w:val="13"/>
                      </w:rPr>
                      <w:instrText xml:space="preserve"> PAGE  \* MERGEFORMAT </w:instrText>
                    </w:r>
                    <w:r>
                      <w:rPr>
                        <w:rStyle w:val="13"/>
                      </w:rPr>
                      <w:fldChar w:fldCharType="separate"/>
                    </w:r>
                    <w:r>
                      <w:rPr>
                        <w:rStyle w:val="13"/>
                      </w:rPr>
                      <w:t>10</w:t>
                    </w:r>
                    <w:r>
                      <w:rPr>
                        <w:rStyle w:val="13"/>
                      </w:rPr>
                      <w:fldChar w:fldCharType="end"/>
                    </w:r>
                    <w:r>
                      <w:rPr>
                        <w:rStyle w:val="13"/>
                      </w:rPr>
                      <w:t xml:space="preserve"> 页 共 </w:t>
                    </w:r>
                    <w:r>
                      <w:rPr>
                        <w:rStyle w:val="13"/>
                      </w:rPr>
                      <w:fldChar w:fldCharType="begin"/>
                    </w:r>
                    <w:r>
                      <w:rPr>
                        <w:rStyle w:val="13"/>
                      </w:rPr>
                      <w:instrText xml:space="preserve"> NUMPAGES  \* MERGEFORMAT </w:instrText>
                    </w:r>
                    <w:r>
                      <w:rPr>
                        <w:rStyle w:val="13"/>
                      </w:rPr>
                      <w:fldChar w:fldCharType="separate"/>
                    </w:r>
                    <w:r>
                      <w:rPr>
                        <w:rStyle w:val="13"/>
                      </w:rPr>
                      <w:t>24</w:t>
                    </w:r>
                    <w:r>
                      <w:rPr>
                        <w:rStyle w:val="13"/>
                      </w:rPr>
                      <w:fldChar w:fldCharType="end"/>
                    </w:r>
                    <w:r>
                      <w:rPr>
                        <w:rStyle w:val="13"/>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B98BD">
    <w:pPr>
      <w:pStyle w:val="4"/>
      <w:framePr w:wrap="around" w:vAnchor="text" w:hAnchor="margin" w:xAlign="center" w:y="1"/>
      <w:rPr>
        <w:rStyle w:val="13"/>
      </w:rPr>
    </w:pPr>
    <w:r>
      <w:fldChar w:fldCharType="begin"/>
    </w:r>
    <w:r>
      <w:rPr>
        <w:rStyle w:val="13"/>
      </w:rPr>
      <w:instrText xml:space="preserve">PAGE  </w:instrText>
    </w:r>
    <w:r>
      <w:fldChar w:fldCharType="separate"/>
    </w:r>
    <w:r>
      <w:fldChar w:fldCharType="end"/>
    </w:r>
  </w:p>
  <w:p w14:paraId="7D9899AD">
    <w:pPr>
      <w:pStyle w:val="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4A172">
    <w:pPr>
      <w:pStyle w:val="21"/>
      <w:framePr w:wrap="auto" w:vAnchor="margin" w:hAnchor="text" w:yAlign="inline"/>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C8DA6">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NhYjNjYTJjMTZkY2RjMWVmYzNiZTc3ZmUyZjg1NmUifQ=="/>
  </w:docVars>
  <w:rsids>
    <w:rsidRoot w:val="68C97EA1"/>
    <w:rsid w:val="09712944"/>
    <w:rsid w:val="0AC81761"/>
    <w:rsid w:val="0AF06054"/>
    <w:rsid w:val="14386086"/>
    <w:rsid w:val="1A16195D"/>
    <w:rsid w:val="1FAC75D6"/>
    <w:rsid w:val="2604791D"/>
    <w:rsid w:val="2DC64451"/>
    <w:rsid w:val="2E674331"/>
    <w:rsid w:val="35EC05BA"/>
    <w:rsid w:val="37CC717F"/>
    <w:rsid w:val="39DA4378"/>
    <w:rsid w:val="3CCC5E5E"/>
    <w:rsid w:val="4AD766E7"/>
    <w:rsid w:val="578C3A52"/>
    <w:rsid w:val="68C97EA1"/>
    <w:rsid w:val="690675CE"/>
    <w:rsid w:val="6D8A4427"/>
    <w:rsid w:val="7F5554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Body Text"/>
    <w:basedOn w:val="1"/>
    <w:qFormat/>
    <w:uiPriority w:val="0"/>
    <w:pPr>
      <w:spacing w:after="120"/>
    </w:pPr>
    <w:rPr>
      <w:rFonts w:ascii="方正书宋简体" w:eastAsia="方正书宋简体"/>
      <w:sz w:val="24"/>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6">
    <w:name w:val="toc 1"/>
    <w:basedOn w:val="1"/>
    <w:next w:val="1"/>
    <w:qFormat/>
    <w:uiPriority w:val="0"/>
  </w:style>
  <w:style w:type="paragraph" w:styleId="7">
    <w:name w:val="Normal (Web)"/>
    <w:basedOn w:val="1"/>
    <w:qFormat/>
    <w:uiPriority w:val="0"/>
    <w:pPr>
      <w:spacing w:beforeAutospacing="1" w:afterAutospacing="1"/>
    </w:pPr>
    <w:rPr>
      <w:lang w:eastAsia="zh-CN"/>
    </w:rPr>
  </w:style>
  <w:style w:type="paragraph" w:styleId="8">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table" w:styleId="10">
    <w:name w:val="Table Grid"/>
    <w:basedOn w:val="9"/>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qFormat/>
    <w:uiPriority w:val="0"/>
    <w:rPr>
      <w:b/>
      <w:bCs/>
    </w:rPr>
  </w:style>
  <w:style w:type="character" w:styleId="13">
    <w:name w:val="page number"/>
    <w:qFormat/>
    <w:uiPriority w:val="0"/>
  </w:style>
  <w:style w:type="paragraph" w:customStyle="1" w:styleId="14">
    <w:name w:val="_Style 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
    <w:name w:val="样式 首行缩进:  2 字符"/>
    <w:basedOn w:val="1"/>
    <w:qFormat/>
    <w:uiPriority w:val="0"/>
    <w:pPr>
      <w:spacing w:line="480" w:lineRule="exact"/>
      <w:ind w:firstLine="200" w:firstLineChars="200"/>
      <w:jc w:val="left"/>
    </w:pPr>
    <w:rPr>
      <w:rFonts w:cs="宋体"/>
      <w:sz w:val="24"/>
    </w:rPr>
  </w:style>
  <w:style w:type="character" w:customStyle="1" w:styleId="16">
    <w:name w:val="font41"/>
    <w:basedOn w:val="11"/>
    <w:qFormat/>
    <w:uiPriority w:val="0"/>
    <w:rPr>
      <w:rFonts w:hint="default" w:ascii="Times New Roman" w:hAnsi="Times New Roman" w:cs="Times New Roman"/>
      <w:b/>
      <w:bCs/>
      <w:color w:val="000000"/>
      <w:sz w:val="21"/>
      <w:szCs w:val="21"/>
      <w:u w:val="none"/>
    </w:rPr>
  </w:style>
  <w:style w:type="character" w:customStyle="1" w:styleId="17">
    <w:name w:val="font31"/>
    <w:basedOn w:val="11"/>
    <w:qFormat/>
    <w:uiPriority w:val="0"/>
    <w:rPr>
      <w:rFonts w:hint="eastAsia" w:ascii="宋体" w:hAnsi="宋体" w:eastAsia="宋体" w:cs="宋体"/>
      <w:b/>
      <w:bCs/>
      <w:color w:val="000000"/>
      <w:sz w:val="21"/>
      <w:szCs w:val="21"/>
      <w:u w:val="none"/>
    </w:rPr>
  </w:style>
  <w:style w:type="character" w:customStyle="1" w:styleId="18">
    <w:name w:val="NormalCharacter"/>
    <w:qFormat/>
    <w:uiPriority w:val="0"/>
    <w:rPr>
      <w:kern w:val="2"/>
      <w:sz w:val="21"/>
      <w:szCs w:val="24"/>
      <w:lang w:val="en-US" w:eastAsia="zh-CN" w:bidi="ar-SA"/>
    </w:rPr>
  </w:style>
  <w:style w:type="paragraph" w:customStyle="1" w:styleId="19">
    <w:name w:val="正文 A"/>
    <w:autoRedefine/>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20">
    <w:name w:val="List Paragraph"/>
    <w:basedOn w:val="1"/>
    <w:autoRedefine/>
    <w:qFormat/>
    <w:uiPriority w:val="0"/>
    <w:pPr>
      <w:ind w:firstLine="420" w:firstLineChars="200"/>
    </w:pPr>
  </w:style>
  <w:style w:type="paragraph" w:customStyle="1" w:styleId="21">
    <w:name w:val="页眉与页脚"/>
    <w:autoRedefine/>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22">
    <w:name w:val="font71"/>
    <w:basedOn w:val="11"/>
    <w:qFormat/>
    <w:uiPriority w:val="0"/>
    <w:rPr>
      <w:rFonts w:hint="eastAsia" w:ascii="宋体" w:hAnsi="宋体" w:eastAsia="宋体" w:cs="宋体"/>
      <w:color w:val="000000"/>
      <w:sz w:val="28"/>
      <w:szCs w:val="28"/>
      <w:u w:val="none"/>
    </w:rPr>
  </w:style>
  <w:style w:type="character" w:customStyle="1" w:styleId="23">
    <w:name w:val="font61"/>
    <w:basedOn w:val="11"/>
    <w:qFormat/>
    <w:uiPriority w:val="0"/>
    <w:rPr>
      <w:rFonts w:hint="eastAsia" w:ascii="宋体" w:hAnsi="宋体" w:eastAsia="宋体" w:cs="宋体"/>
      <w:color w:val="000000"/>
      <w:sz w:val="28"/>
      <w:szCs w:val="28"/>
      <w:u w:val="none"/>
    </w:rPr>
  </w:style>
  <w:style w:type="character" w:customStyle="1" w:styleId="24">
    <w:name w:val="font51"/>
    <w:basedOn w:val="11"/>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7049</Words>
  <Characters>7282</Characters>
  <Lines>0</Lines>
  <Paragraphs>0</Paragraphs>
  <TotalTime>1</TotalTime>
  <ScaleCrop>false</ScaleCrop>
  <LinksUpToDate>false</LinksUpToDate>
  <CharactersWithSpaces>7957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2024-10-14T06:28:00Z</dcterms:created>
  <dc:creator>ʕ·͡ˑ·ཻʔKK</dc:creator>
  <cp:lastModifiedBy>WPS_1734938428</cp:lastModifiedBy>
  <dcterms:modified xsi:type="dcterms:W3CDTF">2025-03-07T08:23:32Z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335A18291A6144E8A71BF08E2994557C_13</vt:lpwstr>
  </property>
  <property fmtid="{D5CDD505-2E9C-101B-9397-08002B2CF9AE}" pid="4" name="KSOTemplateDocerSaveRecord">
    <vt:lpwstr>eyJoZGlkIjoiYTU4MzI5ZGY5YzA4OTc0ZjQ2NTg5MDAzNThiNWYzYjEiLCJ1c2VySWQiOiIxNjY4MjkxOTUwIn0=</vt:lpwstr>
  </property>
</Properties>
</file>