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bookmarkStart w:id="21" w:name="_GoBack"/>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（编号04号）商品混凝土</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2025年7月2日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w:t>
      </w:r>
      <w:r>
        <w:rPr>
          <w:rFonts w:hint="eastAsia" w:ascii="宋体" w:hAnsi="宋体" w:eastAsia="宋体" w:cs="宋体"/>
          <w:color w:val="auto"/>
          <w:kern w:val="0"/>
          <w:sz w:val="28"/>
          <w:szCs w:val="28"/>
          <w:highlight w:val="none"/>
          <w:u w:val="none" w:color="auto"/>
          <w:lang w:val="en-US" w:eastAsia="zh-CN"/>
        </w:rPr>
        <w:t>惠东县水质提升工程项目（黄埠镇盐洲片区）（编号04号）商品混凝土</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主要施工内容为:项目顶管、牵引管施工，污水处理厂主体结构及装修。（详见施工图纸）。</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kern w:val="0"/>
          <w:sz w:val="28"/>
          <w:szCs w:val="28"/>
          <w:highlight w:val="none"/>
          <w:u w:val="none" w:color="auto"/>
          <w:lang w:val="en-US" w:eastAsia="zh-CN"/>
        </w:rPr>
        <w:t>商品混凝土</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2025年7月8日12:00。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18927390440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2025年7月2日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16780"/>
      <w:bookmarkStart w:id="2" w:name="_Toc21380"/>
      <w:bookmarkStart w:id="3" w:name="_Toc392345907"/>
      <w:bookmarkStart w:id="4" w:name="_Toc152045528"/>
      <w:bookmarkStart w:id="5" w:name="_Toc31806"/>
      <w:bookmarkStart w:id="6" w:name="_Toc144974496"/>
      <w:bookmarkStart w:id="7" w:name="_Toc229646710"/>
      <w:bookmarkStart w:id="8" w:name="_Toc500491903"/>
      <w:bookmarkStart w:id="9" w:name="_Toc152042304"/>
      <w:bookmarkStart w:id="10" w:name="_Toc7164"/>
      <w:bookmarkStart w:id="11" w:name="_Toc16761"/>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33"/>
        <w:gridCol w:w="593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惠东县水质提升工程项目（黄埠镇盐洲片区）（编号04号）商品混凝土</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商品混凝土</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7月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2025年7月8日12:00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惠东县水质提升工程项目（黄埠镇盐洲片区）（编号04号）商品混凝土</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80"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5F2D2D3F">
      <w:pPr>
        <w:jc w:val="center"/>
        <w:rPr>
          <w:rFonts w:hint="eastAsia" w:ascii="仿宋" w:hAnsi="仿宋" w:eastAsia="仿宋" w:cs="仿宋"/>
          <w:i w:val="0"/>
          <w:iCs w:val="0"/>
          <w:color w:val="auto"/>
          <w:kern w:val="0"/>
          <w:sz w:val="44"/>
          <w:szCs w:val="44"/>
          <w:highlight w:val="none"/>
          <w:u w:val="none"/>
          <w:lang w:val="en-US" w:eastAsia="zh-CN" w:bidi="ar"/>
        </w:rPr>
      </w:pPr>
      <w:r>
        <w:rPr>
          <w:rFonts w:hint="eastAsia" w:ascii="仿宋" w:hAnsi="仿宋" w:eastAsia="仿宋" w:cs="仿宋"/>
          <w:i w:val="0"/>
          <w:iCs w:val="0"/>
          <w:color w:val="auto"/>
          <w:kern w:val="0"/>
          <w:sz w:val="44"/>
          <w:szCs w:val="44"/>
          <w:highlight w:val="none"/>
          <w:u w:val="none"/>
          <w:lang w:val="en-US" w:eastAsia="zh-CN" w:bidi="ar"/>
        </w:rPr>
        <w:t>普通预拌混凝土材料报价清单</w:t>
      </w:r>
    </w:p>
    <w:p w14:paraId="6208C28A">
      <w:pPr>
        <w:pStyle w:val="3"/>
        <w:spacing w:afterLines="-2147483648" w:afterAutospacing="0"/>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项目名称:惠东县水质提升工程项目（黄埠镇盐洲片区）</w:t>
      </w:r>
    </w:p>
    <w:tbl>
      <w:tblPr>
        <w:tblStyle w:val="8"/>
        <w:tblW w:w="9197" w:type="dxa"/>
        <w:jc w:val="center"/>
        <w:tblLayout w:type="fixed"/>
        <w:tblCellMar>
          <w:top w:w="0" w:type="dxa"/>
          <w:left w:w="108" w:type="dxa"/>
          <w:bottom w:w="0" w:type="dxa"/>
          <w:right w:w="108" w:type="dxa"/>
        </w:tblCellMar>
      </w:tblPr>
      <w:tblGrid>
        <w:gridCol w:w="486"/>
        <w:gridCol w:w="1838"/>
        <w:gridCol w:w="1746"/>
        <w:gridCol w:w="1147"/>
        <w:gridCol w:w="1226"/>
        <w:gridCol w:w="1139"/>
        <w:gridCol w:w="1615"/>
      </w:tblGrid>
      <w:tr w14:paraId="6188DDE4">
        <w:tblPrEx>
          <w:tblCellMar>
            <w:top w:w="0" w:type="dxa"/>
            <w:left w:w="108" w:type="dxa"/>
            <w:bottom w:w="0" w:type="dxa"/>
            <w:right w:w="108" w:type="dxa"/>
          </w:tblCellMar>
        </w:tblPrEx>
        <w:trPr>
          <w:trHeight w:val="734"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0F389782">
            <w:pPr>
              <w:widowControl/>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bidi="ar"/>
              </w:rPr>
              <w:t>序号</w:t>
            </w:r>
          </w:p>
        </w:tc>
        <w:tc>
          <w:tcPr>
            <w:tcW w:w="1838" w:type="dxa"/>
            <w:tcBorders>
              <w:top w:val="single" w:color="auto" w:sz="4" w:space="0"/>
              <w:left w:val="single" w:color="auto" w:sz="4" w:space="0"/>
              <w:bottom w:val="single" w:color="auto" w:sz="4" w:space="0"/>
              <w:right w:val="single" w:color="auto" w:sz="4" w:space="0"/>
            </w:tcBorders>
            <w:noWrap/>
            <w:vAlign w:val="center"/>
          </w:tcPr>
          <w:p w14:paraId="73BC505E">
            <w:pPr>
              <w:widowControl/>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bidi="ar"/>
              </w:rPr>
              <w:t>材料名称</w:t>
            </w:r>
          </w:p>
        </w:tc>
        <w:tc>
          <w:tcPr>
            <w:tcW w:w="1746" w:type="dxa"/>
            <w:tcBorders>
              <w:top w:val="single" w:color="auto" w:sz="4" w:space="0"/>
              <w:left w:val="single" w:color="auto" w:sz="4" w:space="0"/>
              <w:bottom w:val="single" w:color="auto" w:sz="4" w:space="0"/>
              <w:right w:val="single" w:color="auto" w:sz="4" w:space="0"/>
            </w:tcBorders>
            <w:noWrap/>
            <w:vAlign w:val="center"/>
          </w:tcPr>
          <w:p w14:paraId="10EB10A1">
            <w:pPr>
              <w:widowControl/>
              <w:jc w:val="center"/>
              <w:textAlignment w:val="center"/>
              <w:rPr>
                <w:rFonts w:hint="eastAsia" w:ascii="仿宋" w:hAnsi="仿宋" w:eastAsia="仿宋" w:cs="仿宋"/>
                <w:b/>
                <w:bCs/>
                <w:color w:val="auto"/>
                <w:kern w:val="0"/>
                <w:sz w:val="21"/>
                <w:szCs w:val="21"/>
                <w:lang w:bidi="ar"/>
              </w:rPr>
            </w:pPr>
            <w:r>
              <w:rPr>
                <w:rFonts w:hint="eastAsia" w:ascii="仿宋" w:hAnsi="仿宋" w:eastAsia="仿宋" w:cs="仿宋"/>
                <w:b/>
                <w:bCs/>
                <w:color w:val="auto"/>
                <w:kern w:val="0"/>
                <w:sz w:val="21"/>
                <w:szCs w:val="21"/>
                <w:lang w:bidi="ar"/>
              </w:rPr>
              <w:t>规格、型号等特殊要求</w:t>
            </w:r>
          </w:p>
        </w:tc>
        <w:tc>
          <w:tcPr>
            <w:tcW w:w="1147" w:type="dxa"/>
            <w:tcBorders>
              <w:top w:val="single" w:color="auto" w:sz="4" w:space="0"/>
              <w:left w:val="single" w:color="auto" w:sz="4" w:space="0"/>
              <w:bottom w:val="single" w:color="auto" w:sz="4" w:space="0"/>
              <w:right w:val="single" w:color="auto" w:sz="4" w:space="0"/>
            </w:tcBorders>
            <w:noWrap/>
            <w:vAlign w:val="center"/>
          </w:tcPr>
          <w:p w14:paraId="6EAA9479">
            <w:pPr>
              <w:widowControl/>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bidi="ar"/>
              </w:rPr>
              <w:t>单位</w:t>
            </w:r>
          </w:p>
        </w:tc>
        <w:tc>
          <w:tcPr>
            <w:tcW w:w="1226" w:type="dxa"/>
            <w:tcBorders>
              <w:top w:val="single" w:color="auto" w:sz="4" w:space="0"/>
              <w:left w:val="single" w:color="auto" w:sz="4" w:space="0"/>
              <w:bottom w:val="single" w:color="auto" w:sz="4" w:space="0"/>
              <w:right w:val="single" w:color="auto" w:sz="4" w:space="0"/>
            </w:tcBorders>
            <w:noWrap/>
            <w:vAlign w:val="center"/>
          </w:tcPr>
          <w:p w14:paraId="1E4D9F9C">
            <w:pPr>
              <w:widowControl/>
              <w:jc w:val="center"/>
              <w:textAlignment w:val="center"/>
              <w:rPr>
                <w:rFonts w:hint="eastAsia" w:ascii="仿宋" w:hAnsi="仿宋" w:eastAsia="仿宋" w:cs="仿宋"/>
                <w:b/>
                <w:bCs/>
                <w:color w:val="auto"/>
                <w:sz w:val="21"/>
                <w:szCs w:val="21"/>
              </w:rPr>
            </w:pPr>
            <w:r>
              <w:rPr>
                <w:rFonts w:hint="eastAsia" w:ascii="仿宋" w:hAnsi="仿宋" w:eastAsia="仿宋" w:cs="仿宋"/>
                <w:b/>
                <w:bCs/>
                <w:color w:val="auto"/>
                <w:kern w:val="0"/>
                <w:sz w:val="21"/>
                <w:szCs w:val="21"/>
                <w:lang w:bidi="ar"/>
              </w:rPr>
              <w:t>数量</w:t>
            </w:r>
          </w:p>
        </w:tc>
        <w:tc>
          <w:tcPr>
            <w:tcW w:w="1139" w:type="dxa"/>
            <w:tcBorders>
              <w:top w:val="single" w:color="auto" w:sz="4" w:space="0"/>
              <w:left w:val="single" w:color="auto" w:sz="4" w:space="0"/>
              <w:bottom w:val="single" w:color="auto" w:sz="4" w:space="0"/>
              <w:right w:val="single" w:color="auto" w:sz="4" w:space="0"/>
            </w:tcBorders>
            <w:noWrap/>
            <w:vAlign w:val="center"/>
          </w:tcPr>
          <w:p w14:paraId="0CB9D56D">
            <w:pPr>
              <w:widowControl/>
              <w:jc w:val="center"/>
              <w:textAlignment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kern w:val="0"/>
                <w:sz w:val="21"/>
                <w:szCs w:val="21"/>
                <w:lang w:val="en-US" w:eastAsia="zh-CN" w:bidi="ar"/>
              </w:rPr>
              <w:t>不含税单价（元）</w:t>
            </w:r>
          </w:p>
        </w:tc>
        <w:tc>
          <w:tcPr>
            <w:tcW w:w="1615" w:type="dxa"/>
            <w:tcBorders>
              <w:top w:val="single" w:color="auto" w:sz="4" w:space="0"/>
              <w:left w:val="single" w:color="auto" w:sz="4" w:space="0"/>
              <w:bottom w:val="single" w:color="auto" w:sz="4" w:space="0"/>
              <w:right w:val="single" w:color="auto" w:sz="4" w:space="0"/>
            </w:tcBorders>
            <w:noWrap/>
            <w:vAlign w:val="center"/>
          </w:tcPr>
          <w:p w14:paraId="5855407E">
            <w:pPr>
              <w:widowControl/>
              <w:jc w:val="center"/>
              <w:textAlignment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不含税合价（元）</w:t>
            </w:r>
          </w:p>
        </w:tc>
      </w:tr>
      <w:tr w14:paraId="41BEFE06">
        <w:tblPrEx>
          <w:tblCellMar>
            <w:top w:w="0" w:type="dxa"/>
            <w:left w:w="108" w:type="dxa"/>
            <w:bottom w:w="0" w:type="dxa"/>
            <w:right w:w="108" w:type="dxa"/>
          </w:tblCellMar>
        </w:tblPrEx>
        <w:trPr>
          <w:trHeight w:val="544"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5D4FEF28">
            <w:pPr>
              <w:keepNext w:val="0"/>
              <w:keepLines w:val="0"/>
              <w:widowControl/>
              <w:suppressLineNumbers w:val="0"/>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838" w:type="dxa"/>
            <w:tcBorders>
              <w:top w:val="single" w:color="auto" w:sz="4" w:space="0"/>
              <w:left w:val="single" w:color="auto" w:sz="4" w:space="0"/>
              <w:bottom w:val="single" w:color="auto" w:sz="4" w:space="0"/>
              <w:right w:val="single" w:color="auto" w:sz="4" w:space="0"/>
            </w:tcBorders>
            <w:noWrap/>
            <w:vAlign w:val="center"/>
          </w:tcPr>
          <w:p w14:paraId="615245DE">
            <w:pPr>
              <w:keepNext w:val="0"/>
              <w:keepLines w:val="0"/>
              <w:widowControl/>
              <w:suppressLineNumbers w:val="0"/>
              <w:jc w:val="left"/>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auto"/>
                <w:kern w:val="0"/>
                <w:sz w:val="21"/>
                <w:szCs w:val="21"/>
                <w:highlight w:val="none"/>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42BD0B69">
            <w:pPr>
              <w:tabs>
                <w:tab w:val="left" w:pos="443"/>
              </w:tabs>
              <w:jc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C15</w:t>
            </w:r>
          </w:p>
        </w:tc>
        <w:tc>
          <w:tcPr>
            <w:tcW w:w="1147" w:type="dxa"/>
            <w:tcBorders>
              <w:top w:val="single" w:color="auto" w:sz="4" w:space="0"/>
              <w:left w:val="single" w:color="auto" w:sz="4" w:space="0"/>
              <w:bottom w:val="single" w:color="auto" w:sz="4" w:space="0"/>
              <w:right w:val="single" w:color="auto" w:sz="4" w:space="0"/>
            </w:tcBorders>
            <w:noWrap/>
            <w:vAlign w:val="center"/>
          </w:tcPr>
          <w:p w14:paraId="767E3F4F">
            <w:pPr>
              <w:keepNext w:val="0"/>
              <w:keepLines w:val="0"/>
              <w:widowControl/>
              <w:suppressLineNumbers w:val="0"/>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auto"/>
                <w:kern w:val="0"/>
                <w:sz w:val="21"/>
                <w:szCs w:val="21"/>
                <w:highlight w:val="none"/>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3F4CBDF1">
            <w:pPr>
              <w:keepNext w:val="0"/>
              <w:keepLines w:val="0"/>
              <w:widowControl/>
              <w:suppressLineNumbers w:val="0"/>
              <w:jc w:val="center"/>
              <w:textAlignment w:val="center"/>
              <w:rPr>
                <w:rFonts w:hint="eastAsia" w:ascii="仿宋" w:hAnsi="仿宋" w:eastAsia="仿宋" w:cs="仿宋"/>
                <w:color w:val="auto"/>
                <w:sz w:val="21"/>
                <w:szCs w:val="21"/>
                <w:highlight w:val="none"/>
                <w:lang w:val="en-US"/>
              </w:rPr>
            </w:pPr>
            <w:r>
              <w:rPr>
                <w:rFonts w:hint="eastAsia" w:ascii="仿宋" w:hAnsi="仿宋" w:eastAsia="仿宋" w:cs="仿宋"/>
                <w:i w:val="0"/>
                <w:iCs w:val="0"/>
                <w:color w:val="auto"/>
                <w:kern w:val="0"/>
                <w:sz w:val="21"/>
                <w:szCs w:val="21"/>
                <w:u w:val="none"/>
                <w:lang w:val="en-US" w:eastAsia="zh-CN" w:bidi="ar"/>
              </w:rPr>
              <w:t>30.07</w:t>
            </w:r>
          </w:p>
        </w:tc>
        <w:tc>
          <w:tcPr>
            <w:tcW w:w="1139" w:type="dxa"/>
            <w:tcBorders>
              <w:top w:val="single" w:color="auto" w:sz="4" w:space="0"/>
              <w:left w:val="single" w:color="auto" w:sz="4" w:space="0"/>
              <w:bottom w:val="single" w:color="auto" w:sz="4" w:space="0"/>
              <w:right w:val="single" w:color="auto" w:sz="4" w:space="0"/>
            </w:tcBorders>
            <w:noWrap/>
            <w:vAlign w:val="center"/>
          </w:tcPr>
          <w:p w14:paraId="792C4024">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54567FE3">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0ED1FAC1">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4A60EC98">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2</w:t>
            </w:r>
          </w:p>
        </w:tc>
        <w:tc>
          <w:tcPr>
            <w:tcW w:w="1838" w:type="dxa"/>
            <w:tcBorders>
              <w:top w:val="single" w:color="auto" w:sz="4" w:space="0"/>
              <w:left w:val="single" w:color="auto" w:sz="4" w:space="0"/>
              <w:bottom w:val="single" w:color="auto" w:sz="4" w:space="0"/>
              <w:right w:val="single" w:color="auto" w:sz="4" w:space="0"/>
            </w:tcBorders>
            <w:noWrap/>
            <w:vAlign w:val="center"/>
          </w:tcPr>
          <w:p w14:paraId="72A4FA37">
            <w:pPr>
              <w:keepNext w:val="0"/>
              <w:keepLines w:val="0"/>
              <w:widowControl/>
              <w:suppressLineNumbers w:val="0"/>
              <w:jc w:val="left"/>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4612BBAA">
            <w:pPr>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C20</w:t>
            </w:r>
          </w:p>
        </w:tc>
        <w:tc>
          <w:tcPr>
            <w:tcW w:w="1147" w:type="dxa"/>
            <w:tcBorders>
              <w:top w:val="single" w:color="auto" w:sz="4" w:space="0"/>
              <w:left w:val="single" w:color="auto" w:sz="4" w:space="0"/>
              <w:bottom w:val="single" w:color="auto" w:sz="4" w:space="0"/>
              <w:right w:val="single" w:color="auto" w:sz="4" w:space="0"/>
            </w:tcBorders>
            <w:noWrap/>
            <w:vAlign w:val="center"/>
          </w:tcPr>
          <w:p w14:paraId="21105235">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04571018">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1383.32</w:t>
            </w:r>
          </w:p>
        </w:tc>
        <w:tc>
          <w:tcPr>
            <w:tcW w:w="1139" w:type="dxa"/>
            <w:tcBorders>
              <w:top w:val="single" w:color="auto" w:sz="4" w:space="0"/>
              <w:left w:val="single" w:color="auto" w:sz="4" w:space="0"/>
              <w:bottom w:val="single" w:color="auto" w:sz="4" w:space="0"/>
              <w:right w:val="single" w:color="auto" w:sz="4" w:space="0"/>
            </w:tcBorders>
            <w:noWrap/>
            <w:vAlign w:val="center"/>
          </w:tcPr>
          <w:p w14:paraId="3B31E98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1F190EA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76BCCA2A">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3543C439">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3</w:t>
            </w:r>
          </w:p>
        </w:tc>
        <w:tc>
          <w:tcPr>
            <w:tcW w:w="1838" w:type="dxa"/>
            <w:tcBorders>
              <w:top w:val="single" w:color="auto" w:sz="4" w:space="0"/>
              <w:left w:val="single" w:color="auto" w:sz="4" w:space="0"/>
              <w:bottom w:val="single" w:color="auto" w:sz="4" w:space="0"/>
              <w:right w:val="single" w:color="auto" w:sz="4" w:space="0"/>
            </w:tcBorders>
            <w:noWrap/>
            <w:vAlign w:val="center"/>
          </w:tcPr>
          <w:p w14:paraId="0BCAA673">
            <w:pPr>
              <w:keepNext w:val="0"/>
              <w:keepLines w:val="0"/>
              <w:widowControl/>
              <w:suppressLineNumbers w:val="0"/>
              <w:jc w:val="left"/>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5454063B">
            <w:pPr>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C25</w:t>
            </w:r>
          </w:p>
        </w:tc>
        <w:tc>
          <w:tcPr>
            <w:tcW w:w="1147" w:type="dxa"/>
            <w:tcBorders>
              <w:top w:val="single" w:color="auto" w:sz="4" w:space="0"/>
              <w:left w:val="single" w:color="auto" w:sz="4" w:space="0"/>
              <w:bottom w:val="single" w:color="auto" w:sz="4" w:space="0"/>
              <w:right w:val="single" w:color="auto" w:sz="4" w:space="0"/>
            </w:tcBorders>
            <w:noWrap/>
            <w:vAlign w:val="center"/>
          </w:tcPr>
          <w:p w14:paraId="4CB15073">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296F18BD">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1558.63</w:t>
            </w:r>
          </w:p>
        </w:tc>
        <w:tc>
          <w:tcPr>
            <w:tcW w:w="1139" w:type="dxa"/>
            <w:tcBorders>
              <w:top w:val="single" w:color="auto" w:sz="4" w:space="0"/>
              <w:left w:val="single" w:color="auto" w:sz="4" w:space="0"/>
              <w:bottom w:val="single" w:color="auto" w:sz="4" w:space="0"/>
              <w:right w:val="single" w:color="auto" w:sz="4" w:space="0"/>
            </w:tcBorders>
            <w:noWrap/>
            <w:vAlign w:val="center"/>
          </w:tcPr>
          <w:p w14:paraId="79B9950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5E75125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0C4CB555">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2A3ACB13">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4</w:t>
            </w:r>
          </w:p>
        </w:tc>
        <w:tc>
          <w:tcPr>
            <w:tcW w:w="1838" w:type="dxa"/>
            <w:tcBorders>
              <w:top w:val="single" w:color="auto" w:sz="4" w:space="0"/>
              <w:left w:val="single" w:color="auto" w:sz="4" w:space="0"/>
              <w:bottom w:val="single" w:color="auto" w:sz="4" w:space="0"/>
              <w:right w:val="single" w:color="auto" w:sz="4" w:space="0"/>
            </w:tcBorders>
            <w:noWrap/>
            <w:vAlign w:val="center"/>
          </w:tcPr>
          <w:p w14:paraId="1C435B16">
            <w:pPr>
              <w:keepNext w:val="0"/>
              <w:keepLines w:val="0"/>
              <w:widowControl/>
              <w:suppressLineNumbers w:val="0"/>
              <w:jc w:val="left"/>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4FC5061E">
            <w:pPr>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C30</w:t>
            </w:r>
          </w:p>
        </w:tc>
        <w:tc>
          <w:tcPr>
            <w:tcW w:w="1147" w:type="dxa"/>
            <w:tcBorders>
              <w:top w:val="single" w:color="auto" w:sz="4" w:space="0"/>
              <w:left w:val="single" w:color="auto" w:sz="4" w:space="0"/>
              <w:bottom w:val="single" w:color="auto" w:sz="4" w:space="0"/>
              <w:right w:val="single" w:color="auto" w:sz="4" w:space="0"/>
            </w:tcBorders>
            <w:noWrap/>
            <w:vAlign w:val="center"/>
          </w:tcPr>
          <w:p w14:paraId="36DC3C55">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6DE324C3">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50.13</w:t>
            </w:r>
          </w:p>
        </w:tc>
        <w:tc>
          <w:tcPr>
            <w:tcW w:w="1139" w:type="dxa"/>
            <w:tcBorders>
              <w:top w:val="single" w:color="auto" w:sz="4" w:space="0"/>
              <w:left w:val="single" w:color="auto" w:sz="4" w:space="0"/>
              <w:bottom w:val="single" w:color="auto" w:sz="4" w:space="0"/>
              <w:right w:val="single" w:color="auto" w:sz="4" w:space="0"/>
            </w:tcBorders>
            <w:noWrap/>
            <w:vAlign w:val="center"/>
          </w:tcPr>
          <w:p w14:paraId="00891418">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1A5B1AF1">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53AF32DD">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176A2052">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5</w:t>
            </w:r>
          </w:p>
        </w:tc>
        <w:tc>
          <w:tcPr>
            <w:tcW w:w="1838" w:type="dxa"/>
            <w:tcBorders>
              <w:top w:val="single" w:color="auto" w:sz="4" w:space="0"/>
              <w:left w:val="single" w:color="auto" w:sz="4" w:space="0"/>
              <w:bottom w:val="single" w:color="auto" w:sz="4" w:space="0"/>
              <w:right w:val="single" w:color="auto" w:sz="4" w:space="0"/>
            </w:tcBorders>
            <w:noWrap/>
            <w:vAlign w:val="center"/>
          </w:tcPr>
          <w:p w14:paraId="5D0B474D">
            <w:pPr>
              <w:keepNext w:val="0"/>
              <w:keepLines w:val="0"/>
              <w:widowControl/>
              <w:suppressLineNumbers w:val="0"/>
              <w:jc w:val="left"/>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27AEBCAB">
            <w:pPr>
              <w:jc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C35</w:t>
            </w:r>
          </w:p>
        </w:tc>
        <w:tc>
          <w:tcPr>
            <w:tcW w:w="1147" w:type="dxa"/>
            <w:tcBorders>
              <w:top w:val="single" w:color="auto" w:sz="4" w:space="0"/>
              <w:left w:val="single" w:color="auto" w:sz="4" w:space="0"/>
              <w:bottom w:val="single" w:color="auto" w:sz="4" w:space="0"/>
              <w:right w:val="single" w:color="auto" w:sz="4" w:space="0"/>
            </w:tcBorders>
            <w:noWrap/>
            <w:vAlign w:val="center"/>
          </w:tcPr>
          <w:p w14:paraId="4C14B88E">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1EB63728">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52.67</w:t>
            </w:r>
          </w:p>
        </w:tc>
        <w:tc>
          <w:tcPr>
            <w:tcW w:w="1139" w:type="dxa"/>
            <w:tcBorders>
              <w:top w:val="single" w:color="auto" w:sz="4" w:space="0"/>
              <w:left w:val="single" w:color="auto" w:sz="4" w:space="0"/>
              <w:bottom w:val="single" w:color="auto" w:sz="4" w:space="0"/>
              <w:right w:val="single" w:color="auto" w:sz="4" w:space="0"/>
            </w:tcBorders>
            <w:noWrap/>
            <w:vAlign w:val="center"/>
          </w:tcPr>
          <w:p w14:paraId="3E1B5D7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6B1EAE45">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5FC1928D">
        <w:tblPrEx>
          <w:tblCellMar>
            <w:top w:w="0" w:type="dxa"/>
            <w:left w:w="108" w:type="dxa"/>
            <w:bottom w:w="0" w:type="dxa"/>
            <w:right w:w="108" w:type="dxa"/>
          </w:tblCellMar>
        </w:tblPrEx>
        <w:trPr>
          <w:trHeight w:val="443"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1D5373A3">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6</w:t>
            </w:r>
          </w:p>
        </w:tc>
        <w:tc>
          <w:tcPr>
            <w:tcW w:w="1838" w:type="dxa"/>
            <w:tcBorders>
              <w:top w:val="single" w:color="auto" w:sz="4" w:space="0"/>
              <w:left w:val="single" w:color="auto" w:sz="4" w:space="0"/>
              <w:bottom w:val="single" w:color="auto" w:sz="4" w:space="0"/>
              <w:right w:val="single" w:color="auto" w:sz="4" w:space="0"/>
            </w:tcBorders>
            <w:noWrap/>
            <w:vAlign w:val="center"/>
          </w:tcPr>
          <w:p w14:paraId="7A4B539F">
            <w:pPr>
              <w:keepNext w:val="0"/>
              <w:keepLines w:val="0"/>
              <w:widowControl/>
              <w:suppressLineNumbers w:val="0"/>
              <w:jc w:val="left"/>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05F59B7F">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C30抗渗P6</w:t>
            </w:r>
          </w:p>
        </w:tc>
        <w:tc>
          <w:tcPr>
            <w:tcW w:w="1147" w:type="dxa"/>
            <w:tcBorders>
              <w:top w:val="single" w:color="auto" w:sz="4" w:space="0"/>
              <w:left w:val="single" w:color="auto" w:sz="4" w:space="0"/>
              <w:bottom w:val="single" w:color="auto" w:sz="4" w:space="0"/>
              <w:right w:val="single" w:color="auto" w:sz="4" w:space="0"/>
            </w:tcBorders>
            <w:noWrap/>
            <w:vAlign w:val="center"/>
          </w:tcPr>
          <w:p w14:paraId="442965BF">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20ACC388">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1313.23</w:t>
            </w:r>
          </w:p>
        </w:tc>
        <w:tc>
          <w:tcPr>
            <w:tcW w:w="1139" w:type="dxa"/>
            <w:tcBorders>
              <w:top w:val="single" w:color="auto" w:sz="4" w:space="0"/>
              <w:left w:val="single" w:color="auto" w:sz="4" w:space="0"/>
              <w:bottom w:val="single" w:color="auto" w:sz="4" w:space="0"/>
              <w:right w:val="single" w:color="auto" w:sz="4" w:space="0"/>
            </w:tcBorders>
            <w:noWrap/>
            <w:vAlign w:val="center"/>
          </w:tcPr>
          <w:p w14:paraId="1FAB3840">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481D4C11">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495C2326">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7862D136">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7</w:t>
            </w:r>
          </w:p>
        </w:tc>
        <w:tc>
          <w:tcPr>
            <w:tcW w:w="1838" w:type="dxa"/>
            <w:tcBorders>
              <w:top w:val="single" w:color="auto" w:sz="4" w:space="0"/>
              <w:left w:val="single" w:color="auto" w:sz="4" w:space="0"/>
              <w:bottom w:val="single" w:color="auto" w:sz="4" w:space="0"/>
              <w:right w:val="single" w:color="auto" w:sz="4" w:space="0"/>
            </w:tcBorders>
            <w:noWrap/>
            <w:vAlign w:val="center"/>
          </w:tcPr>
          <w:p w14:paraId="3F582ACF">
            <w:pPr>
              <w:keepNext w:val="0"/>
              <w:keepLines w:val="0"/>
              <w:widowControl/>
              <w:suppressLineNumbers w:val="0"/>
              <w:jc w:val="left"/>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noWrap/>
            <w:vAlign w:val="center"/>
          </w:tcPr>
          <w:p w14:paraId="4D0E6400">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C30泵送</w:t>
            </w:r>
          </w:p>
        </w:tc>
        <w:tc>
          <w:tcPr>
            <w:tcW w:w="1147" w:type="dxa"/>
            <w:tcBorders>
              <w:top w:val="single" w:color="auto" w:sz="4" w:space="0"/>
              <w:left w:val="single" w:color="auto" w:sz="4" w:space="0"/>
              <w:bottom w:val="single" w:color="auto" w:sz="4" w:space="0"/>
              <w:right w:val="single" w:color="auto" w:sz="4" w:space="0"/>
            </w:tcBorders>
            <w:noWrap/>
            <w:vAlign w:val="center"/>
          </w:tcPr>
          <w:p w14:paraId="6AC0AC98">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noWrap/>
            <w:vAlign w:val="center"/>
          </w:tcPr>
          <w:p w14:paraId="47F4A2F6">
            <w:pPr>
              <w:keepNext w:val="0"/>
              <w:keepLines w:val="0"/>
              <w:widowControl/>
              <w:suppressLineNumbers w:val="0"/>
              <w:jc w:val="center"/>
              <w:textAlignment w:val="center"/>
              <w:rPr>
                <w:rFonts w:hint="eastAsia" w:ascii="仿宋" w:hAnsi="仿宋" w:eastAsia="仿宋" w:cs="仿宋"/>
                <w:color w:val="auto"/>
                <w:sz w:val="21"/>
                <w:szCs w:val="21"/>
              </w:rPr>
            </w:pPr>
            <w:r>
              <w:rPr>
                <w:rFonts w:hint="eastAsia" w:ascii="仿宋" w:hAnsi="仿宋" w:eastAsia="仿宋" w:cs="仿宋"/>
                <w:i w:val="0"/>
                <w:iCs w:val="0"/>
                <w:color w:val="auto"/>
                <w:kern w:val="0"/>
                <w:sz w:val="21"/>
                <w:szCs w:val="21"/>
                <w:u w:val="none"/>
                <w:lang w:val="en-US" w:eastAsia="zh-CN" w:bidi="ar"/>
              </w:rPr>
              <w:t>23.31</w:t>
            </w:r>
          </w:p>
        </w:tc>
        <w:tc>
          <w:tcPr>
            <w:tcW w:w="1139" w:type="dxa"/>
            <w:tcBorders>
              <w:top w:val="single" w:color="auto" w:sz="4" w:space="0"/>
              <w:left w:val="single" w:color="auto" w:sz="4" w:space="0"/>
              <w:bottom w:val="single" w:color="auto" w:sz="4" w:space="0"/>
              <w:right w:val="single" w:color="auto" w:sz="4" w:space="0"/>
            </w:tcBorders>
            <w:noWrap/>
            <w:vAlign w:val="center"/>
          </w:tcPr>
          <w:p w14:paraId="71C31D65">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noWrap/>
            <w:vAlign w:val="center"/>
          </w:tcPr>
          <w:p w14:paraId="5F0A0503">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67316A5F">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4F68FA04">
            <w:pPr>
              <w:keepNext w:val="0"/>
              <w:keepLines w:val="0"/>
              <w:widowControl/>
              <w:suppressLineNumbers w:val="0"/>
              <w:jc w:val="center"/>
              <w:textAlignment w:val="center"/>
              <w:rPr>
                <w:rFonts w:hint="eastAsia" w:ascii="仿宋" w:hAnsi="仿宋" w:eastAsia="仿宋" w:cs="仿宋"/>
                <w:color w:val="auto"/>
                <w:sz w:val="21"/>
                <w:szCs w:val="21"/>
                <w:highlight w:val="none"/>
              </w:rPr>
            </w:pPr>
            <w:r>
              <w:rPr>
                <w:rFonts w:hint="eastAsia" w:ascii="仿宋" w:hAnsi="仿宋" w:eastAsia="仿宋" w:cs="仿宋"/>
                <w:i w:val="0"/>
                <w:iCs w:val="0"/>
                <w:color w:val="auto"/>
                <w:kern w:val="0"/>
                <w:sz w:val="21"/>
                <w:szCs w:val="21"/>
                <w:highlight w:val="none"/>
                <w:u w:val="none"/>
                <w:lang w:val="en-US" w:eastAsia="zh-CN" w:bidi="ar"/>
              </w:rPr>
              <w:t>8</w:t>
            </w:r>
          </w:p>
        </w:tc>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2F39AB">
            <w:pPr>
              <w:keepNext w:val="0"/>
              <w:keepLines w:val="0"/>
              <w:widowControl/>
              <w:suppressLineNumbers w:val="0"/>
              <w:jc w:val="left"/>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A5D63">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C35泵送</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EA2340">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200370">
            <w:pPr>
              <w:keepNext w:val="0"/>
              <w:keepLines w:val="0"/>
              <w:widowControl/>
              <w:suppressLineNumbers w:val="0"/>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670.74</w:t>
            </w:r>
          </w:p>
        </w:tc>
        <w:tc>
          <w:tcPr>
            <w:tcW w:w="11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3ED74C">
            <w:pPr>
              <w:keepNext w:val="0"/>
              <w:keepLines w:val="0"/>
              <w:widowControl/>
              <w:suppressLineNumbers w:val="0"/>
              <w:jc w:val="center"/>
              <w:textAlignment w:val="center"/>
              <w:rPr>
                <w:rFonts w:hint="eastAsia" w:ascii="仿宋" w:hAnsi="仿宋" w:eastAsia="仿宋" w:cs="仿宋"/>
                <w:i w:val="0"/>
                <w:iCs w:val="0"/>
                <w:color w:val="auto"/>
                <w:kern w:val="2"/>
                <w:sz w:val="21"/>
                <w:szCs w:val="21"/>
                <w:highlight w:val="none"/>
                <w:u w:val="none"/>
                <w:lang w:val="en-US" w:eastAsia="zh-CN" w:bidi="ar-SA"/>
              </w:rPr>
            </w:pP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3460B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3443191C">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767C1248">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9</w:t>
            </w:r>
          </w:p>
        </w:tc>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A81349">
            <w:pPr>
              <w:keepNext w:val="0"/>
              <w:keepLines w:val="0"/>
              <w:widowControl/>
              <w:suppressLineNumbers w:val="0"/>
              <w:jc w:val="left"/>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普通预拌混凝土</w:t>
            </w:r>
          </w:p>
        </w:tc>
        <w:tc>
          <w:tcPr>
            <w:tcW w:w="17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23A1A8">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C35抗渗P6</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0AD72D">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85B69C">
            <w:pPr>
              <w:keepNext w:val="0"/>
              <w:keepLines w:val="0"/>
              <w:widowControl/>
              <w:suppressLineNumbers w:val="0"/>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58.95</w:t>
            </w:r>
          </w:p>
        </w:tc>
        <w:tc>
          <w:tcPr>
            <w:tcW w:w="11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25F433">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1B5A19">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1B56D158">
        <w:tblPrEx>
          <w:tblCellMar>
            <w:top w:w="0" w:type="dxa"/>
            <w:left w:w="108" w:type="dxa"/>
            <w:bottom w:w="0" w:type="dxa"/>
            <w:right w:w="108" w:type="dxa"/>
          </w:tblCellMar>
        </w:tblPrEx>
        <w:trPr>
          <w:trHeight w:val="734"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1F4FEC57">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10</w:t>
            </w:r>
          </w:p>
        </w:tc>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E4AFA6">
            <w:pPr>
              <w:keepNext w:val="0"/>
              <w:keepLines w:val="0"/>
              <w:widowControl/>
              <w:suppressLineNumbers w:val="0"/>
              <w:jc w:val="left"/>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预拌混凝土</w:t>
            </w:r>
          </w:p>
        </w:tc>
        <w:tc>
          <w:tcPr>
            <w:tcW w:w="17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CCF93A">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C40(泵送)抗渗P8</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14553C">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4E952D">
            <w:pPr>
              <w:keepNext w:val="0"/>
              <w:keepLines w:val="0"/>
              <w:widowControl/>
              <w:suppressLineNumbers w:val="0"/>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1515.65</w:t>
            </w:r>
          </w:p>
        </w:tc>
        <w:tc>
          <w:tcPr>
            <w:tcW w:w="11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D63675">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159F51">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52F0EA02">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5F193E4F">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11</w:t>
            </w:r>
          </w:p>
        </w:tc>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E551E4">
            <w:pPr>
              <w:keepNext w:val="0"/>
              <w:keepLines w:val="0"/>
              <w:widowControl/>
              <w:suppressLineNumbers w:val="0"/>
              <w:jc w:val="left"/>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0D8D2F">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C40泵送</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7B9277">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7F589A">
            <w:pPr>
              <w:keepNext w:val="0"/>
              <w:keepLines w:val="0"/>
              <w:widowControl/>
              <w:suppressLineNumbers w:val="0"/>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61.49</w:t>
            </w:r>
          </w:p>
        </w:tc>
        <w:tc>
          <w:tcPr>
            <w:tcW w:w="11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C59D17">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9787ED">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2BAD5FBB">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17B7CBA8">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12</w:t>
            </w:r>
          </w:p>
        </w:tc>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FB99C9">
            <w:pPr>
              <w:keepNext w:val="0"/>
              <w:keepLines w:val="0"/>
              <w:widowControl/>
              <w:suppressLineNumbers w:val="0"/>
              <w:jc w:val="left"/>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 xml:space="preserve">普通预拌混凝土 </w:t>
            </w:r>
          </w:p>
        </w:tc>
        <w:tc>
          <w:tcPr>
            <w:tcW w:w="17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D1B68B">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r>
              <w:rPr>
                <w:rFonts w:hint="eastAsia" w:ascii="仿宋" w:hAnsi="仿宋" w:eastAsia="仿宋" w:cs="仿宋"/>
                <w:i w:val="0"/>
                <w:iCs w:val="0"/>
                <w:color w:val="auto"/>
                <w:kern w:val="0"/>
                <w:sz w:val="21"/>
                <w:szCs w:val="21"/>
                <w:u w:val="none"/>
                <w:lang w:val="en-US" w:eastAsia="zh-CN" w:bidi="ar"/>
              </w:rPr>
              <w:t>C45抗渗P8</w:t>
            </w: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26FBCA">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E36E45">
            <w:pPr>
              <w:keepNext w:val="0"/>
              <w:keepLines w:val="0"/>
              <w:widowControl/>
              <w:suppressLineNumbers w:val="0"/>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32.68</w:t>
            </w:r>
          </w:p>
        </w:tc>
        <w:tc>
          <w:tcPr>
            <w:tcW w:w="11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E07FED">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32B123">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658736A2">
        <w:tblPrEx>
          <w:tblCellMar>
            <w:top w:w="0" w:type="dxa"/>
            <w:left w:w="108" w:type="dxa"/>
            <w:bottom w:w="0" w:type="dxa"/>
            <w:right w:w="108" w:type="dxa"/>
          </w:tblCellMar>
        </w:tblPrEx>
        <w:trPr>
          <w:trHeight w:val="378" w:hRule="atLeast"/>
          <w:jc w:val="center"/>
        </w:trPr>
        <w:tc>
          <w:tcPr>
            <w:tcW w:w="486" w:type="dxa"/>
            <w:tcBorders>
              <w:top w:val="single" w:color="auto" w:sz="4" w:space="0"/>
              <w:left w:val="single" w:color="auto" w:sz="4" w:space="0"/>
              <w:bottom w:val="single" w:color="auto" w:sz="4" w:space="0"/>
              <w:right w:val="single" w:color="auto" w:sz="4" w:space="0"/>
            </w:tcBorders>
            <w:noWrap/>
            <w:vAlign w:val="center"/>
          </w:tcPr>
          <w:p w14:paraId="78825A29">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13</w:t>
            </w:r>
          </w:p>
        </w:tc>
        <w:tc>
          <w:tcPr>
            <w:tcW w:w="183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BB3390">
            <w:pPr>
              <w:keepNext w:val="0"/>
              <w:keepLines w:val="0"/>
              <w:widowControl/>
              <w:suppressLineNumbers w:val="0"/>
              <w:jc w:val="left"/>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混凝土垫块</w:t>
            </w:r>
          </w:p>
        </w:tc>
        <w:tc>
          <w:tcPr>
            <w:tcW w:w="174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218BA7">
            <w:pPr>
              <w:jc w:val="left"/>
              <w:rPr>
                <w:rFonts w:hint="eastAsia" w:ascii="仿宋" w:hAnsi="仿宋" w:eastAsia="仿宋" w:cs="仿宋"/>
                <w:i w:val="0"/>
                <w:iCs w:val="0"/>
                <w:color w:val="auto"/>
                <w:kern w:val="0"/>
                <w:sz w:val="21"/>
                <w:szCs w:val="21"/>
                <w:u w:val="none"/>
                <w:lang w:val="en-US" w:eastAsia="zh-CN" w:bidi="ar"/>
              </w:rPr>
            </w:pPr>
          </w:p>
        </w:tc>
        <w:tc>
          <w:tcPr>
            <w:tcW w:w="114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89F881">
            <w:pPr>
              <w:keepNext w:val="0"/>
              <w:keepLines w:val="0"/>
              <w:widowControl/>
              <w:suppressLineNumbers w:val="0"/>
              <w:jc w:val="center"/>
              <w:textAlignment w:val="center"/>
              <w:rPr>
                <w:rFonts w:hint="eastAsia" w:ascii="仿宋" w:hAnsi="仿宋" w:eastAsia="仿宋" w:cs="仿宋"/>
                <w:color w:val="auto"/>
                <w:kern w:val="0"/>
                <w:sz w:val="21"/>
                <w:szCs w:val="21"/>
                <w:lang w:val="en-US" w:eastAsia="zh-CN" w:bidi="ar"/>
              </w:rPr>
            </w:pPr>
            <w:r>
              <w:rPr>
                <w:rFonts w:hint="eastAsia" w:ascii="仿宋" w:hAnsi="仿宋" w:eastAsia="仿宋" w:cs="仿宋"/>
                <w:i w:val="0"/>
                <w:iCs w:val="0"/>
                <w:color w:val="auto"/>
                <w:kern w:val="0"/>
                <w:sz w:val="21"/>
                <w:szCs w:val="21"/>
                <w:u w:val="none"/>
                <w:lang w:val="en-US" w:eastAsia="zh-CN" w:bidi="ar"/>
              </w:rPr>
              <w:t>m3</w:t>
            </w:r>
          </w:p>
        </w:tc>
        <w:tc>
          <w:tcPr>
            <w:tcW w:w="12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2FCDD6">
            <w:pPr>
              <w:keepNext w:val="0"/>
              <w:keepLines w:val="0"/>
              <w:widowControl/>
              <w:suppressLineNumbers w:val="0"/>
              <w:jc w:val="center"/>
              <w:textAlignment w:val="center"/>
              <w:rPr>
                <w:rFonts w:hint="eastAsia" w:ascii="仿宋" w:hAnsi="仿宋" w:eastAsia="仿宋" w:cs="仿宋"/>
                <w:color w:val="auto"/>
                <w:kern w:val="2"/>
                <w:sz w:val="21"/>
                <w:szCs w:val="21"/>
                <w:lang w:val="en-US" w:eastAsia="zh-CN" w:bidi="ar-SA"/>
              </w:rPr>
            </w:pPr>
            <w:r>
              <w:rPr>
                <w:rFonts w:hint="eastAsia" w:ascii="仿宋" w:hAnsi="仿宋" w:eastAsia="仿宋" w:cs="仿宋"/>
                <w:i w:val="0"/>
                <w:iCs w:val="0"/>
                <w:color w:val="auto"/>
                <w:kern w:val="0"/>
                <w:sz w:val="21"/>
                <w:szCs w:val="21"/>
                <w:u w:val="none"/>
                <w:lang w:val="en-US" w:eastAsia="zh-CN" w:bidi="ar"/>
              </w:rPr>
              <w:t>0.39</w:t>
            </w:r>
          </w:p>
        </w:tc>
        <w:tc>
          <w:tcPr>
            <w:tcW w:w="11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3A6862">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F96D33">
            <w:pPr>
              <w:keepNext w:val="0"/>
              <w:keepLines w:val="0"/>
              <w:widowControl/>
              <w:suppressLineNumbers w:val="0"/>
              <w:jc w:val="center"/>
              <w:textAlignment w:val="center"/>
              <w:rPr>
                <w:rFonts w:hint="eastAsia" w:ascii="仿宋" w:hAnsi="仿宋" w:eastAsia="仿宋" w:cs="仿宋"/>
                <w:i w:val="0"/>
                <w:iCs w:val="0"/>
                <w:color w:val="auto"/>
                <w:kern w:val="0"/>
                <w:sz w:val="21"/>
                <w:szCs w:val="21"/>
                <w:u w:val="none"/>
                <w:lang w:val="en-US" w:eastAsia="zh-CN" w:bidi="ar"/>
              </w:rPr>
            </w:pPr>
          </w:p>
        </w:tc>
      </w:tr>
      <w:tr w14:paraId="09E2CED0">
        <w:tblPrEx>
          <w:tblCellMar>
            <w:top w:w="0" w:type="dxa"/>
            <w:left w:w="108" w:type="dxa"/>
            <w:bottom w:w="0" w:type="dxa"/>
            <w:right w:w="108" w:type="dxa"/>
          </w:tblCellMar>
        </w:tblPrEx>
        <w:trPr>
          <w:trHeight w:val="378" w:hRule="atLeast"/>
          <w:jc w:val="center"/>
        </w:trPr>
        <w:tc>
          <w:tcPr>
            <w:tcW w:w="7582" w:type="dxa"/>
            <w:gridSpan w:val="6"/>
            <w:tcBorders>
              <w:top w:val="single" w:color="auto" w:sz="4" w:space="0"/>
              <w:left w:val="single" w:color="auto" w:sz="4" w:space="0"/>
              <w:bottom w:val="single" w:color="auto" w:sz="4" w:space="0"/>
              <w:right w:val="single" w:color="auto" w:sz="4" w:space="0"/>
            </w:tcBorders>
            <w:noWrap/>
            <w:vAlign w:val="center"/>
          </w:tcPr>
          <w:p w14:paraId="40F6BE80">
            <w:pPr>
              <w:jc w:val="center"/>
              <w:rPr>
                <w:rFonts w:hint="eastAsia" w:ascii="仿宋" w:hAnsi="仿宋" w:eastAsia="仿宋" w:cs="仿宋"/>
                <w:b/>
                <w:color w:val="auto"/>
                <w:sz w:val="21"/>
                <w:szCs w:val="21"/>
              </w:rPr>
            </w:pPr>
            <w:r>
              <w:rPr>
                <w:rFonts w:hint="eastAsia" w:ascii="仿宋" w:hAnsi="仿宋" w:eastAsia="仿宋" w:cs="仿宋"/>
                <w:b/>
                <w:bCs/>
                <w:color w:val="auto"/>
                <w:sz w:val="21"/>
                <w:szCs w:val="21"/>
              </w:rPr>
              <w:t>不含增值税总价</w:t>
            </w: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A856C8">
            <w:pPr>
              <w:keepNext w:val="0"/>
              <w:keepLines w:val="0"/>
              <w:widowControl/>
              <w:suppressLineNumbers w:val="0"/>
              <w:jc w:val="center"/>
              <w:textAlignment w:val="center"/>
              <w:rPr>
                <w:rFonts w:hint="eastAsia" w:ascii="仿宋" w:hAnsi="仿宋" w:eastAsia="仿宋" w:cs="仿宋"/>
                <w:b/>
                <w:bCs/>
                <w:i w:val="0"/>
                <w:iCs w:val="0"/>
                <w:color w:val="auto"/>
                <w:kern w:val="2"/>
                <w:sz w:val="21"/>
                <w:szCs w:val="21"/>
                <w:u w:val="none"/>
                <w:lang w:val="en-US" w:eastAsia="zh-CN" w:bidi="ar-SA"/>
              </w:rPr>
            </w:pPr>
          </w:p>
        </w:tc>
      </w:tr>
      <w:tr w14:paraId="32B14708">
        <w:tblPrEx>
          <w:tblCellMar>
            <w:top w:w="0" w:type="dxa"/>
            <w:left w:w="108" w:type="dxa"/>
            <w:bottom w:w="0" w:type="dxa"/>
            <w:right w:w="108" w:type="dxa"/>
          </w:tblCellMar>
        </w:tblPrEx>
        <w:trPr>
          <w:trHeight w:val="378" w:hRule="atLeast"/>
          <w:jc w:val="center"/>
        </w:trPr>
        <w:tc>
          <w:tcPr>
            <w:tcW w:w="7582" w:type="dxa"/>
            <w:gridSpan w:val="6"/>
            <w:tcBorders>
              <w:top w:val="single" w:color="auto" w:sz="4" w:space="0"/>
              <w:left w:val="single" w:color="auto" w:sz="4" w:space="0"/>
              <w:bottom w:val="single" w:color="auto" w:sz="4" w:space="0"/>
              <w:right w:val="single" w:color="auto" w:sz="4" w:space="0"/>
            </w:tcBorders>
            <w:noWrap/>
            <w:vAlign w:val="center"/>
          </w:tcPr>
          <w:p w14:paraId="5D3566CD">
            <w:pPr>
              <w:jc w:val="center"/>
              <w:rPr>
                <w:rFonts w:hint="eastAsia" w:ascii="仿宋" w:hAnsi="仿宋" w:eastAsia="仿宋" w:cs="仿宋"/>
                <w:b/>
                <w:color w:val="auto"/>
                <w:sz w:val="21"/>
                <w:szCs w:val="21"/>
              </w:rPr>
            </w:pPr>
            <w:r>
              <w:rPr>
                <w:rFonts w:hint="eastAsia" w:ascii="仿宋" w:hAnsi="仿宋" w:eastAsia="仿宋" w:cs="仿宋"/>
                <w:b/>
                <w:bCs/>
                <w:color w:val="auto"/>
                <w:sz w:val="21"/>
                <w:szCs w:val="21"/>
              </w:rPr>
              <w:t>增值税（</w:t>
            </w:r>
            <w:r>
              <w:rPr>
                <w:rFonts w:hint="eastAsia" w:ascii="仿宋" w:hAnsi="仿宋" w:eastAsia="仿宋" w:cs="仿宋"/>
                <w:b/>
                <w:bCs/>
                <w:color w:val="auto"/>
                <w:sz w:val="21"/>
                <w:szCs w:val="21"/>
                <w:lang w:val="en-US" w:eastAsia="zh-CN"/>
              </w:rPr>
              <w:t xml:space="preserve">   </w:t>
            </w:r>
            <w:r>
              <w:rPr>
                <w:rFonts w:hint="eastAsia" w:ascii="仿宋" w:hAnsi="仿宋" w:eastAsia="仿宋" w:cs="仿宋"/>
                <w:b/>
                <w:bCs/>
                <w:color w:val="auto"/>
                <w:sz w:val="21"/>
                <w:szCs w:val="21"/>
              </w:rPr>
              <w:t>%）</w:t>
            </w: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32736">
            <w:pPr>
              <w:keepNext w:val="0"/>
              <w:keepLines w:val="0"/>
              <w:widowControl/>
              <w:suppressLineNumbers w:val="0"/>
              <w:jc w:val="center"/>
              <w:textAlignment w:val="center"/>
              <w:rPr>
                <w:rFonts w:hint="eastAsia" w:ascii="仿宋" w:hAnsi="仿宋" w:eastAsia="仿宋" w:cs="仿宋"/>
                <w:b/>
                <w:bCs/>
                <w:i w:val="0"/>
                <w:iCs w:val="0"/>
                <w:color w:val="auto"/>
                <w:kern w:val="2"/>
                <w:sz w:val="21"/>
                <w:szCs w:val="21"/>
                <w:u w:val="none"/>
                <w:lang w:val="en-US" w:eastAsia="zh-CN" w:bidi="ar-SA"/>
              </w:rPr>
            </w:pPr>
          </w:p>
        </w:tc>
      </w:tr>
      <w:tr w14:paraId="771E8CDC">
        <w:tblPrEx>
          <w:tblCellMar>
            <w:top w:w="0" w:type="dxa"/>
            <w:left w:w="108" w:type="dxa"/>
            <w:bottom w:w="0" w:type="dxa"/>
            <w:right w:w="108" w:type="dxa"/>
          </w:tblCellMar>
        </w:tblPrEx>
        <w:trPr>
          <w:trHeight w:val="378" w:hRule="atLeast"/>
          <w:jc w:val="center"/>
        </w:trPr>
        <w:tc>
          <w:tcPr>
            <w:tcW w:w="7582" w:type="dxa"/>
            <w:gridSpan w:val="6"/>
            <w:tcBorders>
              <w:top w:val="single" w:color="auto" w:sz="4" w:space="0"/>
              <w:left w:val="single" w:color="auto" w:sz="4" w:space="0"/>
              <w:bottom w:val="single" w:color="auto" w:sz="4" w:space="0"/>
              <w:right w:val="single" w:color="auto" w:sz="4" w:space="0"/>
            </w:tcBorders>
            <w:noWrap/>
            <w:vAlign w:val="center"/>
          </w:tcPr>
          <w:p w14:paraId="519F663C">
            <w:pPr>
              <w:jc w:val="center"/>
              <w:rPr>
                <w:rFonts w:hint="eastAsia" w:ascii="仿宋" w:hAnsi="仿宋" w:eastAsia="仿宋" w:cs="仿宋"/>
                <w:b/>
                <w:color w:val="auto"/>
                <w:sz w:val="21"/>
                <w:szCs w:val="21"/>
              </w:rPr>
            </w:pPr>
            <w:r>
              <w:rPr>
                <w:rFonts w:hint="eastAsia" w:ascii="仿宋" w:hAnsi="仿宋" w:eastAsia="仿宋" w:cs="仿宋"/>
                <w:b/>
                <w:bCs/>
                <w:color w:val="auto"/>
                <w:sz w:val="21"/>
                <w:szCs w:val="21"/>
              </w:rPr>
              <w:t>含增值税合计</w:t>
            </w:r>
          </w:p>
        </w:tc>
        <w:tc>
          <w:tcPr>
            <w:tcW w:w="16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C25E02">
            <w:pPr>
              <w:keepNext w:val="0"/>
              <w:keepLines w:val="0"/>
              <w:widowControl/>
              <w:suppressLineNumbers w:val="0"/>
              <w:jc w:val="center"/>
              <w:textAlignment w:val="center"/>
              <w:rPr>
                <w:rFonts w:hint="eastAsia" w:ascii="仿宋" w:hAnsi="仿宋" w:eastAsia="仿宋" w:cs="仿宋"/>
                <w:b/>
                <w:bCs/>
                <w:i w:val="0"/>
                <w:iCs w:val="0"/>
                <w:color w:val="auto"/>
                <w:kern w:val="2"/>
                <w:sz w:val="21"/>
                <w:szCs w:val="21"/>
                <w:u w:val="none"/>
                <w:lang w:val="en-US" w:eastAsia="zh-CN" w:bidi="ar-SA"/>
              </w:rPr>
            </w:pPr>
          </w:p>
        </w:tc>
      </w:tr>
      <w:tr w14:paraId="1A0C28FD">
        <w:tblPrEx>
          <w:tblCellMar>
            <w:top w:w="0" w:type="dxa"/>
            <w:left w:w="108" w:type="dxa"/>
            <w:bottom w:w="0" w:type="dxa"/>
            <w:right w:w="108" w:type="dxa"/>
          </w:tblCellMar>
        </w:tblPrEx>
        <w:trPr>
          <w:trHeight w:val="545" w:hRule="atLeast"/>
          <w:jc w:val="center"/>
        </w:trPr>
        <w:tc>
          <w:tcPr>
            <w:tcW w:w="9197" w:type="dxa"/>
            <w:gridSpan w:val="7"/>
            <w:tcBorders>
              <w:top w:val="single" w:color="auto" w:sz="4" w:space="0"/>
              <w:left w:val="single" w:color="auto" w:sz="4" w:space="0"/>
              <w:bottom w:val="single" w:color="auto" w:sz="4" w:space="0"/>
              <w:right w:val="single" w:color="auto" w:sz="4" w:space="0"/>
            </w:tcBorders>
            <w:noWrap/>
            <w:vAlign w:val="center"/>
          </w:tcPr>
          <w:p w14:paraId="198D6DBF">
            <w:pPr>
              <w:keepNext w:val="0"/>
              <w:keepLines w:val="0"/>
              <w:pageBreakBefore w:val="0"/>
              <w:widowControl w:val="0"/>
              <w:kinsoku/>
              <w:wordWrap/>
              <w:overflowPunct/>
              <w:topLinePunct w:val="0"/>
              <w:autoSpaceDE/>
              <w:autoSpaceDN w:val="0"/>
              <w:bidi w:val="0"/>
              <w:adjustRightInd/>
              <w:snapToGrid/>
              <w:spacing w:after="0" w:line="340" w:lineRule="exact"/>
              <w:jc w:val="both"/>
              <w:rPr>
                <w:rFonts w:hint="eastAsia" w:ascii="仿宋" w:hAnsi="仿宋" w:eastAsia="仿宋" w:cs="仿宋"/>
                <w:b/>
                <w:bCs/>
                <w:i w:val="0"/>
                <w:iCs w:val="0"/>
                <w:color w:val="auto"/>
                <w:kern w:val="0"/>
                <w:sz w:val="21"/>
                <w:szCs w:val="21"/>
                <w:highlight w:val="yellow"/>
                <w:u w:val="none"/>
                <w:lang w:val="en-US" w:eastAsia="zh-CN" w:bidi="ar"/>
              </w:rPr>
            </w:pPr>
            <w:r>
              <w:rPr>
                <w:rFonts w:hint="eastAsia" w:ascii="仿宋" w:hAnsi="仿宋" w:eastAsia="仿宋" w:cs="仿宋"/>
                <w:bCs/>
                <w:color w:val="auto"/>
                <w:kern w:val="2"/>
                <w:sz w:val="21"/>
                <w:szCs w:val="21"/>
                <w:highlight w:val="none"/>
                <w:lang w:val="en-US" w:eastAsia="zh-CN" w:bidi="ar-SA"/>
              </w:rPr>
              <w:t>备注：</w:t>
            </w:r>
          </w:p>
        </w:tc>
      </w:tr>
    </w:tbl>
    <w:p w14:paraId="5EA5455C">
      <w:pPr>
        <w:keepNext w:val="0"/>
        <w:keepLines w:val="0"/>
        <w:pageBreakBefore w:val="0"/>
        <w:widowControl w:val="0"/>
        <w:kinsoku/>
        <w:wordWrap/>
        <w:overflowPunct/>
        <w:topLinePunct w:val="0"/>
        <w:autoSpaceDE/>
        <w:autoSpaceDN w:val="0"/>
        <w:bidi w:val="0"/>
        <w:adjustRightInd/>
        <w:snapToGrid/>
        <w:spacing w:after="0" w:line="340" w:lineRule="exact"/>
        <w:jc w:val="right"/>
        <w:rPr>
          <w:rFonts w:hint="eastAsia" w:ascii="仿宋" w:hAnsi="仿宋" w:eastAsia="仿宋" w:cs="仿宋"/>
          <w:bCs/>
          <w:color w:val="auto"/>
          <w:kern w:val="2"/>
          <w:sz w:val="21"/>
          <w:szCs w:val="21"/>
          <w:highlight w:val="none"/>
          <w:lang w:val="en-US" w:eastAsia="zh-CN" w:bidi="ar-SA"/>
        </w:rPr>
      </w:pPr>
    </w:p>
    <w:p w14:paraId="1F1AD7C1">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bCs/>
          <w:color w:val="auto"/>
          <w:kern w:val="2"/>
          <w:sz w:val="28"/>
          <w:szCs w:val="28"/>
          <w:highlight w:val="none"/>
          <w:lang w:val="en-US" w:eastAsia="zh-CN" w:bidi="ar-SA"/>
        </w:rPr>
        <w:t>报</w:t>
      </w:r>
      <w:r>
        <w:rPr>
          <w:rFonts w:hint="eastAsia" w:ascii="仿宋" w:hAnsi="仿宋" w:eastAsia="仿宋" w:cs="仿宋"/>
          <w:i w:val="0"/>
          <w:iCs w:val="0"/>
          <w:color w:val="auto"/>
          <w:kern w:val="0"/>
          <w:sz w:val="28"/>
          <w:szCs w:val="28"/>
          <w:u w:val="none"/>
          <w:lang w:val="en-US" w:eastAsia="zh-CN" w:bidi="ar"/>
        </w:rPr>
        <w:t xml:space="preserve">价单位：       </w:t>
      </w:r>
    </w:p>
    <w:p w14:paraId="29E69453">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 xml:space="preserve">联系人：       </w:t>
      </w:r>
    </w:p>
    <w:p w14:paraId="544F9A6B">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 xml:space="preserve">电话：       </w:t>
      </w:r>
    </w:p>
    <w:p w14:paraId="6036479B">
      <w:pPr>
        <w:keepNext w:val="0"/>
        <w:keepLines w:val="0"/>
        <w:pageBreakBefore w:val="0"/>
        <w:widowControl w:val="0"/>
        <w:kinsoku/>
        <w:wordWrap w:val="0"/>
        <w:overflowPunct/>
        <w:topLinePunct w:val="0"/>
        <w:autoSpaceDE/>
        <w:autoSpaceDN w:val="0"/>
        <w:bidi w:val="0"/>
        <w:adjustRightInd/>
        <w:snapToGrid/>
        <w:spacing w:after="0" w:line="340" w:lineRule="exact"/>
        <w:jc w:val="right"/>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 xml:space="preserve">报价日期：       </w:t>
      </w:r>
    </w:p>
    <w:p w14:paraId="74D0E046">
      <w:pPr>
        <w:pStyle w:val="12"/>
        <w:ind w:left="0" w:leftChars="0" w:firstLine="0" w:firstLineChars="0"/>
        <w:jc w:val="both"/>
        <w:rPr>
          <w:rFonts w:hint="eastAsia" w:ascii="宋体" w:hAnsi="宋体" w:eastAsia="宋体" w:cs="宋体"/>
          <w:color w:val="auto"/>
          <w:sz w:val="20"/>
          <w:szCs w:val="20"/>
          <w:highlight w:val="none"/>
          <w:lang w:val="zh-CN" w:eastAsia="zh-CN" w:bidi="zh-CN"/>
        </w:rPr>
      </w:pPr>
    </w:p>
    <w:p w14:paraId="0DDD654D">
      <w:pPr>
        <w:rPr>
          <w:rFonts w:hint="eastAsia"/>
          <w:color w:val="auto"/>
          <w:lang w:val="zh-CN" w:eastAsia="zh-CN"/>
        </w:rPr>
      </w:pPr>
    </w:p>
    <w:p w14:paraId="7C86C774">
      <w:pPr>
        <w:rPr>
          <w:rFonts w:hint="eastAsia" w:ascii="Times New Roman" w:hAnsi="Calibri" w:eastAsia="Times New Roman" w:cs="Times New Roman"/>
          <w:color w:val="auto"/>
          <w:sz w:val="28"/>
          <w:szCs w:val="22"/>
          <w:lang w:val="en-US" w:eastAsia="zh-CN" w:bidi="ar-SA"/>
        </w:rPr>
      </w:pPr>
      <w:r>
        <w:rPr>
          <w:rFonts w:hint="eastAsia" w:ascii="Times New Roman" w:hAnsi="Calibri" w:eastAsia="Times New Roman" w:cs="Times New Roman"/>
          <w:color w:val="auto"/>
          <w:sz w:val="28"/>
          <w:szCs w:val="22"/>
          <w:lang w:val="en-US" w:eastAsia="zh-CN" w:bidi="ar-SA"/>
        </w:rPr>
        <w:br w:type="page"/>
      </w:r>
    </w:p>
    <w:p w14:paraId="184E0473">
      <w:pPr>
        <w:widowControl/>
        <w:spacing w:line="357" w:lineRule="atLeast"/>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303"/>
      <w:r>
        <w:rPr>
          <w:rFonts w:hint="eastAsia" w:ascii="宋体" w:hAnsi="宋体" w:eastAsia="宋体" w:cs="宋体"/>
          <w:b/>
          <w:bCs/>
          <w:color w:val="auto"/>
          <w:kern w:val="0"/>
          <w:sz w:val="32"/>
          <w:szCs w:val="32"/>
          <w:highlight w:val="none"/>
          <w:lang w:val="en-US" w:eastAsia="zh-CN"/>
        </w:rPr>
        <w:t>第五部分  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A945D66">
      <w:pPr>
        <w:ind w:firstLine="2168" w:firstLineChars="600"/>
        <w:jc w:val="left"/>
        <w:rPr>
          <w:rFonts w:hint="eastAsia" w:ascii="Calibri" w:hAnsi="Calibri" w:eastAsia="宋体" w:cs="Times New Roman"/>
          <w:color w:val="auto"/>
        </w:rPr>
      </w:pPr>
      <w:r>
        <w:rPr>
          <w:rFonts w:hint="eastAsia" w:ascii="仿宋" w:hAnsi="仿宋" w:eastAsia="仿宋" w:cs="Times New Roman"/>
          <w:b/>
          <w:color w:val="auto"/>
          <w:sz w:val="36"/>
          <w:szCs w:val="36"/>
        </w:rPr>
        <w:t>商品混凝土采购供应合同</w:t>
      </w:r>
    </w:p>
    <w:p w14:paraId="262391F4">
      <w:pPr>
        <w:wordWrap w:val="0"/>
        <w:spacing w:line="400" w:lineRule="exact"/>
        <w:jc w:val="right"/>
        <w:rPr>
          <w:rFonts w:hint="default" w:ascii="仿宋" w:hAnsi="仿宋" w:eastAsia="仿宋" w:cs="Times New Roman"/>
          <w:bCs/>
          <w:color w:val="auto"/>
          <w:sz w:val="24"/>
          <w:lang w:val="en-US" w:eastAsia="zh-CN"/>
        </w:rPr>
      </w:pPr>
      <w:r>
        <w:rPr>
          <w:rFonts w:hint="eastAsia" w:ascii="仿宋" w:hAnsi="仿宋" w:eastAsia="仿宋" w:cs="Times New Roman"/>
          <w:color w:val="auto"/>
          <w:sz w:val="24"/>
          <w:lang w:val="zh-CN"/>
        </w:rPr>
        <w:t>合同编号：</w:t>
      </w:r>
      <w:r>
        <w:rPr>
          <w:rFonts w:hint="eastAsia" w:ascii="仿宋" w:hAnsi="仿宋" w:eastAsia="仿宋" w:cs="Times New Roman"/>
          <w:color w:val="auto"/>
          <w:sz w:val="24"/>
          <w:u w:val="single"/>
          <w:lang w:val="en-US" w:eastAsia="zh-CN"/>
        </w:rPr>
        <w:t xml:space="preserve">                  </w:t>
      </w:r>
    </w:p>
    <w:p w14:paraId="642F598B">
      <w:pPr>
        <w:spacing w:line="360" w:lineRule="auto"/>
        <w:rPr>
          <w:rFonts w:hint="default" w:ascii="仿宋" w:hAnsi="仿宋" w:eastAsia="仿宋" w:cs="Times New Roman"/>
          <w:bCs/>
          <w:color w:val="auto"/>
          <w:sz w:val="24"/>
          <w:lang w:val="en-US" w:eastAsia="zh-CN"/>
        </w:rPr>
      </w:pPr>
      <w:r>
        <w:rPr>
          <w:rFonts w:hint="eastAsia" w:ascii="仿宋" w:hAnsi="仿宋" w:eastAsia="仿宋" w:cs="Times New Roman"/>
          <w:bCs/>
          <w:color w:val="auto"/>
          <w:sz w:val="24"/>
        </w:rPr>
        <w:t>甲方（需方）：</w:t>
      </w:r>
      <w:r>
        <w:rPr>
          <w:rFonts w:hint="eastAsia" w:ascii="仿宋" w:hAnsi="仿宋" w:eastAsia="仿宋" w:cs="Times New Roman"/>
          <w:color w:val="auto"/>
          <w:sz w:val="24"/>
          <w:u w:val="single"/>
          <w:lang w:val="en-US" w:eastAsia="zh-CN"/>
        </w:rPr>
        <w:t xml:space="preserve">                 </w:t>
      </w:r>
    </w:p>
    <w:p w14:paraId="15A22EB1">
      <w:pPr>
        <w:tabs>
          <w:tab w:val="left" w:pos="720"/>
        </w:tabs>
        <w:spacing w:line="360" w:lineRule="auto"/>
        <w:rPr>
          <w:rFonts w:hint="default" w:ascii="仿宋" w:hAnsi="仿宋" w:eastAsia="仿宋" w:cs="Times New Roman"/>
          <w:b/>
          <w:color w:val="auto"/>
          <w:sz w:val="24"/>
          <w:lang w:val="en-US" w:eastAsia="zh-CN"/>
        </w:rPr>
      </w:pPr>
      <w:r>
        <w:rPr>
          <w:rFonts w:hint="eastAsia" w:ascii="仿宋" w:hAnsi="仿宋" w:eastAsia="仿宋" w:cs="Times New Roman"/>
          <w:bCs/>
          <w:color w:val="auto"/>
          <w:sz w:val="24"/>
        </w:rPr>
        <w:t>乙方（供方）：</w:t>
      </w:r>
      <w:r>
        <w:rPr>
          <w:rFonts w:hint="eastAsia" w:ascii="仿宋" w:hAnsi="仿宋" w:eastAsia="仿宋" w:cs="Times New Roman"/>
          <w:color w:val="auto"/>
          <w:sz w:val="24"/>
          <w:szCs w:val="24"/>
          <w:u w:val="single"/>
          <w:lang w:val="en-US" w:eastAsia="zh-CN"/>
        </w:rPr>
        <w:t xml:space="preserve">                 </w:t>
      </w:r>
    </w:p>
    <w:p w14:paraId="606569C2">
      <w:pPr>
        <w:tabs>
          <w:tab w:val="left" w:pos="720"/>
        </w:tabs>
        <w:spacing w:line="400" w:lineRule="exact"/>
        <w:rPr>
          <w:rFonts w:hint="eastAsia" w:ascii="仿宋" w:hAnsi="仿宋" w:eastAsia="仿宋" w:cs="Times New Roman"/>
          <w:b/>
          <w:color w:val="auto"/>
          <w:sz w:val="24"/>
        </w:rPr>
      </w:pPr>
    </w:p>
    <w:p w14:paraId="2B059852">
      <w:pPr>
        <w:tabs>
          <w:tab w:val="left" w:pos="720"/>
        </w:tabs>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kern w:val="0"/>
          <w:sz w:val="24"/>
        </w:rPr>
        <w:t>根据《中华人民共和国民法典》及其它有关法律、行政法规。为了明确双方的权利义务，遵循平等、自愿、公平和诚实信用的原则。甲方因工程施工进展的需要，向乙方购置商品混凝土。双方就商品混凝土采购供应有关事项达成如下协议共同遵守执行：</w:t>
      </w:r>
    </w:p>
    <w:p w14:paraId="7CD2813F">
      <w:pPr>
        <w:numPr>
          <w:ilvl w:val="0"/>
          <w:numId w:val="2"/>
        </w:numPr>
        <w:spacing w:line="360" w:lineRule="auto"/>
        <w:ind w:firstLine="482" w:firstLineChars="200"/>
        <w:rPr>
          <w:rFonts w:hint="eastAsia" w:ascii="仿宋" w:hAnsi="仿宋" w:eastAsia="仿宋" w:cs="宋体"/>
          <w:b/>
          <w:color w:val="auto"/>
          <w:sz w:val="24"/>
        </w:rPr>
      </w:pPr>
      <w:r>
        <w:rPr>
          <w:rFonts w:hint="eastAsia" w:ascii="仿宋" w:hAnsi="仿宋" w:eastAsia="仿宋" w:cs="宋体"/>
          <w:b/>
          <w:color w:val="auto"/>
          <w:sz w:val="24"/>
        </w:rPr>
        <w:t>产品名称、砼级别、塌落度、数量、单价</w:t>
      </w:r>
    </w:p>
    <w:tbl>
      <w:tblPr>
        <w:tblStyle w:val="8"/>
        <w:tblW w:w="8776" w:type="dxa"/>
        <w:jc w:val="center"/>
        <w:tblLayout w:type="fixed"/>
        <w:tblCellMar>
          <w:top w:w="0" w:type="dxa"/>
          <w:left w:w="108" w:type="dxa"/>
          <w:bottom w:w="0" w:type="dxa"/>
          <w:right w:w="108" w:type="dxa"/>
        </w:tblCellMar>
      </w:tblPr>
      <w:tblGrid>
        <w:gridCol w:w="463"/>
        <w:gridCol w:w="1658"/>
        <w:gridCol w:w="1763"/>
        <w:gridCol w:w="1095"/>
        <w:gridCol w:w="1169"/>
        <w:gridCol w:w="1087"/>
        <w:gridCol w:w="1541"/>
      </w:tblGrid>
      <w:tr w14:paraId="43DF8124">
        <w:tblPrEx>
          <w:tblCellMar>
            <w:top w:w="0" w:type="dxa"/>
            <w:left w:w="108" w:type="dxa"/>
            <w:bottom w:w="0" w:type="dxa"/>
            <w:right w:w="108" w:type="dxa"/>
          </w:tblCellMar>
        </w:tblPrEx>
        <w:trPr>
          <w:trHeight w:val="1174"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50DE2FF1">
            <w:pPr>
              <w:widowControl/>
              <w:jc w:val="center"/>
              <w:textAlignment w:val="center"/>
              <w:rPr>
                <w:rFonts w:ascii="仿宋" w:hAnsi="仿宋" w:eastAsia="仿宋" w:cs="仿宋"/>
                <w:b/>
                <w:bCs/>
                <w:color w:val="auto"/>
                <w:sz w:val="24"/>
                <w:szCs w:val="24"/>
              </w:rPr>
            </w:pPr>
            <w:r>
              <w:rPr>
                <w:rFonts w:hint="eastAsia" w:ascii="仿宋" w:hAnsi="仿宋" w:eastAsia="仿宋" w:cs="仿宋"/>
                <w:b/>
                <w:bCs/>
                <w:color w:val="auto"/>
                <w:kern w:val="0"/>
                <w:sz w:val="24"/>
                <w:szCs w:val="24"/>
                <w:lang w:bidi="ar"/>
              </w:rPr>
              <w:t>序号</w:t>
            </w:r>
          </w:p>
        </w:tc>
        <w:tc>
          <w:tcPr>
            <w:tcW w:w="1658" w:type="dxa"/>
            <w:tcBorders>
              <w:top w:val="single" w:color="auto" w:sz="4" w:space="0"/>
              <w:left w:val="single" w:color="auto" w:sz="4" w:space="0"/>
              <w:bottom w:val="single" w:color="auto" w:sz="4" w:space="0"/>
              <w:right w:val="single" w:color="auto" w:sz="4" w:space="0"/>
            </w:tcBorders>
            <w:noWrap/>
            <w:vAlign w:val="center"/>
          </w:tcPr>
          <w:p w14:paraId="0F314E06">
            <w:pPr>
              <w:widowControl/>
              <w:jc w:val="center"/>
              <w:textAlignment w:val="center"/>
              <w:rPr>
                <w:rFonts w:ascii="仿宋" w:hAnsi="仿宋" w:eastAsia="仿宋" w:cs="仿宋"/>
                <w:b/>
                <w:bCs/>
                <w:color w:val="auto"/>
                <w:sz w:val="24"/>
                <w:szCs w:val="24"/>
              </w:rPr>
            </w:pPr>
            <w:r>
              <w:rPr>
                <w:rFonts w:hint="eastAsia" w:ascii="仿宋" w:hAnsi="仿宋" w:eastAsia="仿宋" w:cs="仿宋"/>
                <w:b/>
                <w:bCs/>
                <w:color w:val="auto"/>
                <w:kern w:val="0"/>
                <w:sz w:val="24"/>
                <w:szCs w:val="24"/>
                <w:lang w:bidi="ar"/>
              </w:rPr>
              <w:t>材料名称</w:t>
            </w:r>
          </w:p>
        </w:tc>
        <w:tc>
          <w:tcPr>
            <w:tcW w:w="1763" w:type="dxa"/>
            <w:tcBorders>
              <w:top w:val="single" w:color="auto" w:sz="4" w:space="0"/>
              <w:left w:val="single" w:color="auto" w:sz="4" w:space="0"/>
              <w:bottom w:val="single" w:color="auto" w:sz="4" w:space="0"/>
              <w:right w:val="single" w:color="auto" w:sz="4" w:space="0"/>
            </w:tcBorders>
            <w:noWrap/>
            <w:vAlign w:val="center"/>
          </w:tcPr>
          <w:p w14:paraId="0CEE6CED">
            <w:pPr>
              <w:widowControl/>
              <w:jc w:val="center"/>
              <w:textAlignment w:val="center"/>
              <w:rPr>
                <w:rFonts w:hint="eastAsia" w:ascii="仿宋" w:hAnsi="仿宋" w:eastAsia="仿宋" w:cs="仿宋"/>
                <w:b/>
                <w:bCs/>
                <w:color w:val="auto"/>
                <w:kern w:val="0"/>
                <w:sz w:val="24"/>
                <w:szCs w:val="24"/>
                <w:lang w:bidi="ar"/>
              </w:rPr>
            </w:pPr>
            <w:r>
              <w:rPr>
                <w:rFonts w:hint="eastAsia" w:ascii="仿宋" w:hAnsi="仿宋" w:eastAsia="仿宋" w:cs="仿宋"/>
                <w:b/>
                <w:bCs/>
                <w:color w:val="auto"/>
                <w:kern w:val="0"/>
                <w:sz w:val="24"/>
                <w:szCs w:val="24"/>
                <w:lang w:bidi="ar"/>
              </w:rPr>
              <w:t>规格、型号等特殊要求</w:t>
            </w:r>
          </w:p>
        </w:tc>
        <w:tc>
          <w:tcPr>
            <w:tcW w:w="1095" w:type="dxa"/>
            <w:tcBorders>
              <w:top w:val="single" w:color="auto" w:sz="4" w:space="0"/>
              <w:left w:val="single" w:color="auto" w:sz="4" w:space="0"/>
              <w:bottom w:val="single" w:color="auto" w:sz="4" w:space="0"/>
              <w:right w:val="single" w:color="auto" w:sz="4" w:space="0"/>
            </w:tcBorders>
            <w:noWrap/>
            <w:vAlign w:val="center"/>
          </w:tcPr>
          <w:p w14:paraId="1E681556">
            <w:pPr>
              <w:widowControl/>
              <w:jc w:val="center"/>
              <w:textAlignment w:val="center"/>
              <w:rPr>
                <w:rFonts w:ascii="仿宋" w:hAnsi="仿宋" w:eastAsia="仿宋" w:cs="仿宋"/>
                <w:b/>
                <w:bCs/>
                <w:color w:val="auto"/>
                <w:sz w:val="24"/>
                <w:szCs w:val="24"/>
              </w:rPr>
            </w:pPr>
            <w:r>
              <w:rPr>
                <w:rFonts w:hint="eastAsia" w:ascii="仿宋" w:hAnsi="仿宋" w:eastAsia="仿宋" w:cs="仿宋"/>
                <w:b/>
                <w:bCs/>
                <w:color w:val="auto"/>
                <w:kern w:val="0"/>
                <w:sz w:val="24"/>
                <w:szCs w:val="24"/>
                <w:lang w:bidi="ar"/>
              </w:rPr>
              <w:t>单位</w:t>
            </w:r>
          </w:p>
        </w:tc>
        <w:tc>
          <w:tcPr>
            <w:tcW w:w="1169" w:type="dxa"/>
            <w:tcBorders>
              <w:top w:val="single" w:color="auto" w:sz="4" w:space="0"/>
              <w:left w:val="single" w:color="auto" w:sz="4" w:space="0"/>
              <w:bottom w:val="single" w:color="auto" w:sz="4" w:space="0"/>
              <w:right w:val="single" w:color="auto" w:sz="4" w:space="0"/>
            </w:tcBorders>
            <w:noWrap/>
            <w:vAlign w:val="center"/>
          </w:tcPr>
          <w:p w14:paraId="109EF6AD">
            <w:pPr>
              <w:widowControl/>
              <w:jc w:val="center"/>
              <w:textAlignment w:val="center"/>
              <w:rPr>
                <w:rFonts w:ascii="仿宋" w:hAnsi="仿宋" w:eastAsia="仿宋" w:cs="仿宋"/>
                <w:b/>
                <w:bCs/>
                <w:color w:val="auto"/>
                <w:sz w:val="24"/>
                <w:szCs w:val="24"/>
              </w:rPr>
            </w:pPr>
            <w:r>
              <w:rPr>
                <w:rFonts w:hint="eastAsia" w:ascii="仿宋" w:hAnsi="仿宋" w:eastAsia="仿宋" w:cs="仿宋"/>
                <w:b/>
                <w:bCs/>
                <w:color w:val="auto"/>
                <w:kern w:val="0"/>
                <w:sz w:val="24"/>
                <w:szCs w:val="24"/>
                <w:lang w:bidi="ar"/>
              </w:rPr>
              <w:t>数量</w:t>
            </w:r>
          </w:p>
        </w:tc>
        <w:tc>
          <w:tcPr>
            <w:tcW w:w="1087" w:type="dxa"/>
            <w:tcBorders>
              <w:top w:val="single" w:color="auto" w:sz="4" w:space="0"/>
              <w:left w:val="single" w:color="auto" w:sz="4" w:space="0"/>
              <w:bottom w:val="single" w:color="auto" w:sz="4" w:space="0"/>
              <w:right w:val="single" w:color="auto" w:sz="4" w:space="0"/>
            </w:tcBorders>
            <w:noWrap/>
            <w:vAlign w:val="center"/>
          </w:tcPr>
          <w:p w14:paraId="6A8E8505">
            <w:pPr>
              <w:widowControl/>
              <w:jc w:val="center"/>
              <w:textAlignment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kern w:val="0"/>
                <w:sz w:val="24"/>
                <w:szCs w:val="24"/>
                <w:lang w:val="en-US" w:eastAsia="zh-CN" w:bidi="ar"/>
              </w:rPr>
              <w:t>不含税单价（元）</w:t>
            </w:r>
          </w:p>
        </w:tc>
        <w:tc>
          <w:tcPr>
            <w:tcW w:w="1541" w:type="dxa"/>
            <w:tcBorders>
              <w:top w:val="single" w:color="auto" w:sz="4" w:space="0"/>
              <w:left w:val="single" w:color="auto" w:sz="4" w:space="0"/>
              <w:bottom w:val="single" w:color="auto" w:sz="4" w:space="0"/>
              <w:right w:val="single" w:color="auto" w:sz="4" w:space="0"/>
            </w:tcBorders>
            <w:noWrap/>
            <w:vAlign w:val="center"/>
          </w:tcPr>
          <w:p w14:paraId="6CE60AF3">
            <w:pPr>
              <w:widowControl/>
              <w:jc w:val="center"/>
              <w:textAlignment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不含税合价（元）</w:t>
            </w:r>
          </w:p>
        </w:tc>
      </w:tr>
      <w:tr w14:paraId="71A3EEB7">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3D64DCA2">
            <w:pPr>
              <w:keepNext w:val="0"/>
              <w:keepLines w:val="0"/>
              <w:widowControl/>
              <w:suppressLineNumbers w:val="0"/>
              <w:jc w:val="center"/>
              <w:textAlignment w:val="center"/>
              <w:rPr>
                <w:rFonts w:hint="eastAsia" w:ascii="仿宋" w:hAnsi="仿宋" w:eastAsia="仿宋" w:cs="仿宋"/>
                <w:color w:val="auto"/>
                <w:sz w:val="22"/>
                <w:szCs w:val="22"/>
                <w:highlight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658" w:type="dxa"/>
            <w:tcBorders>
              <w:top w:val="single" w:color="auto" w:sz="4" w:space="0"/>
              <w:left w:val="single" w:color="auto" w:sz="4" w:space="0"/>
              <w:bottom w:val="single" w:color="auto" w:sz="4" w:space="0"/>
              <w:right w:val="single" w:color="auto" w:sz="4" w:space="0"/>
            </w:tcBorders>
            <w:noWrap/>
            <w:vAlign w:val="center"/>
          </w:tcPr>
          <w:p w14:paraId="53403715">
            <w:pPr>
              <w:keepNext w:val="0"/>
              <w:keepLines w:val="0"/>
              <w:widowControl/>
              <w:suppressLineNumbers w:val="0"/>
              <w:jc w:val="left"/>
              <w:textAlignment w:val="center"/>
              <w:rPr>
                <w:rFonts w:hint="eastAsia" w:ascii="仿宋" w:hAnsi="仿宋" w:eastAsia="仿宋" w:cs="仿宋"/>
                <w:color w:val="auto"/>
                <w:sz w:val="22"/>
                <w:szCs w:val="22"/>
                <w:highlight w:val="none"/>
              </w:rPr>
            </w:pPr>
            <w:r>
              <w:rPr>
                <w:rFonts w:hint="eastAsia" w:ascii="宋体" w:hAnsi="宋体" w:eastAsia="宋体" w:cs="宋体"/>
                <w:i w:val="0"/>
                <w:iCs w:val="0"/>
                <w:color w:val="auto"/>
                <w:kern w:val="0"/>
                <w:sz w:val="20"/>
                <w:szCs w:val="20"/>
                <w:highlight w:val="none"/>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2B0291FA">
            <w:pPr>
              <w:tabs>
                <w:tab w:val="left" w:pos="443"/>
              </w:tabs>
              <w:jc w:val="center"/>
              <w:rPr>
                <w:rFonts w:hint="eastAsia" w:ascii="仿宋" w:hAnsi="仿宋" w:eastAsia="仿宋" w:cs="仿宋"/>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C15</w:t>
            </w:r>
          </w:p>
        </w:tc>
        <w:tc>
          <w:tcPr>
            <w:tcW w:w="1095" w:type="dxa"/>
            <w:tcBorders>
              <w:top w:val="single" w:color="auto" w:sz="4" w:space="0"/>
              <w:left w:val="single" w:color="auto" w:sz="4" w:space="0"/>
              <w:bottom w:val="single" w:color="auto" w:sz="4" w:space="0"/>
              <w:right w:val="single" w:color="auto" w:sz="4" w:space="0"/>
            </w:tcBorders>
            <w:noWrap/>
            <w:vAlign w:val="center"/>
          </w:tcPr>
          <w:p w14:paraId="769F4738">
            <w:pPr>
              <w:keepNext w:val="0"/>
              <w:keepLines w:val="0"/>
              <w:widowControl/>
              <w:suppressLineNumbers w:val="0"/>
              <w:jc w:val="center"/>
              <w:textAlignment w:val="center"/>
              <w:rPr>
                <w:rFonts w:hint="eastAsia" w:ascii="仿宋" w:hAnsi="仿宋" w:eastAsia="仿宋" w:cs="仿宋"/>
                <w:color w:val="auto"/>
                <w:sz w:val="22"/>
                <w:szCs w:val="22"/>
                <w:highlight w:val="none"/>
              </w:rPr>
            </w:pPr>
            <w:r>
              <w:rPr>
                <w:rFonts w:hint="eastAsia" w:ascii="宋体" w:hAnsi="宋体" w:eastAsia="宋体" w:cs="宋体"/>
                <w:i w:val="0"/>
                <w:iCs w:val="0"/>
                <w:color w:val="auto"/>
                <w:kern w:val="0"/>
                <w:sz w:val="20"/>
                <w:szCs w:val="20"/>
                <w:highlight w:val="none"/>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2EA7C865">
            <w:pPr>
              <w:keepNext w:val="0"/>
              <w:keepLines w:val="0"/>
              <w:widowControl/>
              <w:suppressLineNumbers w:val="0"/>
              <w:jc w:val="center"/>
              <w:textAlignment w:val="center"/>
              <w:rPr>
                <w:rFonts w:hint="default" w:ascii="仿宋" w:hAnsi="仿宋" w:eastAsia="仿宋" w:cs="仿宋"/>
                <w:color w:val="auto"/>
                <w:sz w:val="22"/>
                <w:szCs w:val="22"/>
                <w:highlight w:val="none"/>
                <w:lang w:val="en-US"/>
              </w:rPr>
            </w:pPr>
            <w:r>
              <w:rPr>
                <w:rFonts w:hint="eastAsia" w:ascii="宋体" w:hAnsi="宋体" w:eastAsia="宋体" w:cs="宋体"/>
                <w:i w:val="0"/>
                <w:iCs w:val="0"/>
                <w:color w:val="auto"/>
                <w:kern w:val="0"/>
                <w:sz w:val="20"/>
                <w:szCs w:val="20"/>
                <w:u w:val="none"/>
                <w:lang w:val="en-US" w:eastAsia="zh-CN" w:bidi="ar"/>
              </w:rPr>
              <w:t>30.07</w:t>
            </w:r>
          </w:p>
        </w:tc>
        <w:tc>
          <w:tcPr>
            <w:tcW w:w="1087" w:type="dxa"/>
            <w:tcBorders>
              <w:top w:val="single" w:color="auto" w:sz="4" w:space="0"/>
              <w:left w:val="single" w:color="auto" w:sz="4" w:space="0"/>
              <w:bottom w:val="single" w:color="auto" w:sz="4" w:space="0"/>
              <w:right w:val="single" w:color="auto" w:sz="4" w:space="0"/>
            </w:tcBorders>
            <w:noWrap/>
            <w:vAlign w:val="center"/>
          </w:tcPr>
          <w:p w14:paraId="14088C5C">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5D244087">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6D6390BA">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2E456979">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2</w:t>
            </w:r>
          </w:p>
        </w:tc>
        <w:tc>
          <w:tcPr>
            <w:tcW w:w="1658" w:type="dxa"/>
            <w:tcBorders>
              <w:top w:val="single" w:color="auto" w:sz="4" w:space="0"/>
              <w:left w:val="single" w:color="auto" w:sz="4" w:space="0"/>
              <w:bottom w:val="single" w:color="auto" w:sz="4" w:space="0"/>
              <w:right w:val="single" w:color="auto" w:sz="4" w:space="0"/>
            </w:tcBorders>
            <w:noWrap/>
            <w:vAlign w:val="center"/>
          </w:tcPr>
          <w:p w14:paraId="09218B7B">
            <w:pPr>
              <w:keepNext w:val="0"/>
              <w:keepLines w:val="0"/>
              <w:widowControl/>
              <w:suppressLineNumbers w:val="0"/>
              <w:jc w:val="left"/>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44D81E68">
            <w:pPr>
              <w:jc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C20</w:t>
            </w:r>
          </w:p>
        </w:tc>
        <w:tc>
          <w:tcPr>
            <w:tcW w:w="1095" w:type="dxa"/>
            <w:tcBorders>
              <w:top w:val="single" w:color="auto" w:sz="4" w:space="0"/>
              <w:left w:val="single" w:color="auto" w:sz="4" w:space="0"/>
              <w:bottom w:val="single" w:color="auto" w:sz="4" w:space="0"/>
              <w:right w:val="single" w:color="auto" w:sz="4" w:space="0"/>
            </w:tcBorders>
            <w:noWrap/>
            <w:vAlign w:val="center"/>
          </w:tcPr>
          <w:p w14:paraId="6CE37225">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56C80FFB">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1383.32</w:t>
            </w:r>
          </w:p>
        </w:tc>
        <w:tc>
          <w:tcPr>
            <w:tcW w:w="1087" w:type="dxa"/>
            <w:tcBorders>
              <w:top w:val="single" w:color="auto" w:sz="4" w:space="0"/>
              <w:left w:val="single" w:color="auto" w:sz="4" w:space="0"/>
              <w:bottom w:val="single" w:color="auto" w:sz="4" w:space="0"/>
              <w:right w:val="single" w:color="auto" w:sz="4" w:space="0"/>
            </w:tcBorders>
            <w:noWrap/>
            <w:vAlign w:val="center"/>
          </w:tcPr>
          <w:p w14:paraId="04D2060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364C838C">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20395309">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6C8AA8A8">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3</w:t>
            </w:r>
          </w:p>
        </w:tc>
        <w:tc>
          <w:tcPr>
            <w:tcW w:w="1658" w:type="dxa"/>
            <w:tcBorders>
              <w:top w:val="single" w:color="auto" w:sz="4" w:space="0"/>
              <w:left w:val="single" w:color="auto" w:sz="4" w:space="0"/>
              <w:bottom w:val="single" w:color="auto" w:sz="4" w:space="0"/>
              <w:right w:val="single" w:color="auto" w:sz="4" w:space="0"/>
            </w:tcBorders>
            <w:noWrap/>
            <w:vAlign w:val="center"/>
          </w:tcPr>
          <w:p w14:paraId="076AD1FA">
            <w:pPr>
              <w:keepNext w:val="0"/>
              <w:keepLines w:val="0"/>
              <w:widowControl/>
              <w:suppressLineNumbers w:val="0"/>
              <w:jc w:val="left"/>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7C4B1EFC">
            <w:pPr>
              <w:jc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C25</w:t>
            </w:r>
          </w:p>
        </w:tc>
        <w:tc>
          <w:tcPr>
            <w:tcW w:w="1095" w:type="dxa"/>
            <w:tcBorders>
              <w:top w:val="single" w:color="auto" w:sz="4" w:space="0"/>
              <w:left w:val="single" w:color="auto" w:sz="4" w:space="0"/>
              <w:bottom w:val="single" w:color="auto" w:sz="4" w:space="0"/>
              <w:right w:val="single" w:color="auto" w:sz="4" w:space="0"/>
            </w:tcBorders>
            <w:noWrap/>
            <w:vAlign w:val="center"/>
          </w:tcPr>
          <w:p w14:paraId="23F51AE9">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4B708552">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1558.63</w:t>
            </w:r>
          </w:p>
        </w:tc>
        <w:tc>
          <w:tcPr>
            <w:tcW w:w="1087" w:type="dxa"/>
            <w:tcBorders>
              <w:top w:val="single" w:color="auto" w:sz="4" w:space="0"/>
              <w:left w:val="single" w:color="auto" w:sz="4" w:space="0"/>
              <w:bottom w:val="single" w:color="auto" w:sz="4" w:space="0"/>
              <w:right w:val="single" w:color="auto" w:sz="4" w:space="0"/>
            </w:tcBorders>
            <w:noWrap/>
            <w:vAlign w:val="center"/>
          </w:tcPr>
          <w:p w14:paraId="544FE10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6B3600DA">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61CB7C81">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7920AAA8">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4</w:t>
            </w:r>
          </w:p>
        </w:tc>
        <w:tc>
          <w:tcPr>
            <w:tcW w:w="1658" w:type="dxa"/>
            <w:tcBorders>
              <w:top w:val="single" w:color="auto" w:sz="4" w:space="0"/>
              <w:left w:val="single" w:color="auto" w:sz="4" w:space="0"/>
              <w:bottom w:val="single" w:color="auto" w:sz="4" w:space="0"/>
              <w:right w:val="single" w:color="auto" w:sz="4" w:space="0"/>
            </w:tcBorders>
            <w:noWrap/>
            <w:vAlign w:val="center"/>
          </w:tcPr>
          <w:p w14:paraId="6B646E03">
            <w:pPr>
              <w:keepNext w:val="0"/>
              <w:keepLines w:val="0"/>
              <w:widowControl/>
              <w:suppressLineNumbers w:val="0"/>
              <w:jc w:val="left"/>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33E61509">
            <w:pPr>
              <w:jc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C30</w:t>
            </w:r>
          </w:p>
        </w:tc>
        <w:tc>
          <w:tcPr>
            <w:tcW w:w="1095" w:type="dxa"/>
            <w:tcBorders>
              <w:top w:val="single" w:color="auto" w:sz="4" w:space="0"/>
              <w:left w:val="single" w:color="auto" w:sz="4" w:space="0"/>
              <w:bottom w:val="single" w:color="auto" w:sz="4" w:space="0"/>
              <w:right w:val="single" w:color="auto" w:sz="4" w:space="0"/>
            </w:tcBorders>
            <w:noWrap/>
            <w:vAlign w:val="center"/>
          </w:tcPr>
          <w:p w14:paraId="396134E1">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3EE98CFA">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50.13</w:t>
            </w:r>
          </w:p>
        </w:tc>
        <w:tc>
          <w:tcPr>
            <w:tcW w:w="1087" w:type="dxa"/>
            <w:tcBorders>
              <w:top w:val="single" w:color="auto" w:sz="4" w:space="0"/>
              <w:left w:val="single" w:color="auto" w:sz="4" w:space="0"/>
              <w:bottom w:val="single" w:color="auto" w:sz="4" w:space="0"/>
              <w:right w:val="single" w:color="auto" w:sz="4" w:space="0"/>
            </w:tcBorders>
            <w:noWrap/>
            <w:vAlign w:val="center"/>
          </w:tcPr>
          <w:p w14:paraId="2A340DF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72088665">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4ED245B4">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0C5D45B7">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5</w:t>
            </w:r>
          </w:p>
        </w:tc>
        <w:tc>
          <w:tcPr>
            <w:tcW w:w="1658" w:type="dxa"/>
            <w:tcBorders>
              <w:top w:val="single" w:color="auto" w:sz="4" w:space="0"/>
              <w:left w:val="single" w:color="auto" w:sz="4" w:space="0"/>
              <w:bottom w:val="single" w:color="auto" w:sz="4" w:space="0"/>
              <w:right w:val="single" w:color="auto" w:sz="4" w:space="0"/>
            </w:tcBorders>
            <w:noWrap/>
            <w:vAlign w:val="center"/>
          </w:tcPr>
          <w:p w14:paraId="09E65CA6">
            <w:pPr>
              <w:keepNext w:val="0"/>
              <w:keepLines w:val="0"/>
              <w:widowControl/>
              <w:suppressLineNumbers w:val="0"/>
              <w:jc w:val="left"/>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50288839">
            <w:pPr>
              <w:jc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C35</w:t>
            </w:r>
          </w:p>
        </w:tc>
        <w:tc>
          <w:tcPr>
            <w:tcW w:w="1095" w:type="dxa"/>
            <w:tcBorders>
              <w:top w:val="single" w:color="auto" w:sz="4" w:space="0"/>
              <w:left w:val="single" w:color="auto" w:sz="4" w:space="0"/>
              <w:bottom w:val="single" w:color="auto" w:sz="4" w:space="0"/>
              <w:right w:val="single" w:color="auto" w:sz="4" w:space="0"/>
            </w:tcBorders>
            <w:noWrap/>
            <w:vAlign w:val="center"/>
          </w:tcPr>
          <w:p w14:paraId="19C5E277">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1621FAAF">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52.67</w:t>
            </w:r>
          </w:p>
        </w:tc>
        <w:tc>
          <w:tcPr>
            <w:tcW w:w="1087" w:type="dxa"/>
            <w:tcBorders>
              <w:top w:val="single" w:color="auto" w:sz="4" w:space="0"/>
              <w:left w:val="single" w:color="auto" w:sz="4" w:space="0"/>
              <w:bottom w:val="single" w:color="auto" w:sz="4" w:space="0"/>
              <w:right w:val="single" w:color="auto" w:sz="4" w:space="0"/>
            </w:tcBorders>
            <w:noWrap/>
            <w:vAlign w:val="center"/>
          </w:tcPr>
          <w:p w14:paraId="0D5494B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4237688D">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16F3E2DC">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0FF0B582">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6</w:t>
            </w:r>
          </w:p>
        </w:tc>
        <w:tc>
          <w:tcPr>
            <w:tcW w:w="1658" w:type="dxa"/>
            <w:tcBorders>
              <w:top w:val="single" w:color="auto" w:sz="4" w:space="0"/>
              <w:left w:val="single" w:color="auto" w:sz="4" w:space="0"/>
              <w:bottom w:val="single" w:color="auto" w:sz="4" w:space="0"/>
              <w:right w:val="single" w:color="auto" w:sz="4" w:space="0"/>
            </w:tcBorders>
            <w:noWrap/>
            <w:vAlign w:val="center"/>
          </w:tcPr>
          <w:p w14:paraId="1842C881">
            <w:pPr>
              <w:keepNext w:val="0"/>
              <w:keepLines w:val="0"/>
              <w:widowControl/>
              <w:suppressLineNumbers w:val="0"/>
              <w:jc w:val="left"/>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444CD7B8">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C30抗渗P6</w:t>
            </w:r>
          </w:p>
        </w:tc>
        <w:tc>
          <w:tcPr>
            <w:tcW w:w="1095" w:type="dxa"/>
            <w:tcBorders>
              <w:top w:val="single" w:color="auto" w:sz="4" w:space="0"/>
              <w:left w:val="single" w:color="auto" w:sz="4" w:space="0"/>
              <w:bottom w:val="single" w:color="auto" w:sz="4" w:space="0"/>
              <w:right w:val="single" w:color="auto" w:sz="4" w:space="0"/>
            </w:tcBorders>
            <w:noWrap/>
            <w:vAlign w:val="center"/>
          </w:tcPr>
          <w:p w14:paraId="4EE1A3FE">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5A72F8D7">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1313.23</w:t>
            </w:r>
          </w:p>
        </w:tc>
        <w:tc>
          <w:tcPr>
            <w:tcW w:w="1087" w:type="dxa"/>
            <w:tcBorders>
              <w:top w:val="single" w:color="auto" w:sz="4" w:space="0"/>
              <w:left w:val="single" w:color="auto" w:sz="4" w:space="0"/>
              <w:bottom w:val="single" w:color="auto" w:sz="4" w:space="0"/>
              <w:right w:val="single" w:color="auto" w:sz="4" w:space="0"/>
            </w:tcBorders>
            <w:noWrap/>
            <w:vAlign w:val="center"/>
          </w:tcPr>
          <w:p w14:paraId="43AE5B7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30B13E57">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4E9D607C">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257D18B5">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7</w:t>
            </w:r>
          </w:p>
        </w:tc>
        <w:tc>
          <w:tcPr>
            <w:tcW w:w="1658" w:type="dxa"/>
            <w:tcBorders>
              <w:top w:val="single" w:color="auto" w:sz="4" w:space="0"/>
              <w:left w:val="single" w:color="auto" w:sz="4" w:space="0"/>
              <w:bottom w:val="single" w:color="auto" w:sz="4" w:space="0"/>
              <w:right w:val="single" w:color="auto" w:sz="4" w:space="0"/>
            </w:tcBorders>
            <w:noWrap/>
            <w:vAlign w:val="center"/>
          </w:tcPr>
          <w:p w14:paraId="40E4AB3C">
            <w:pPr>
              <w:keepNext w:val="0"/>
              <w:keepLines w:val="0"/>
              <w:widowControl/>
              <w:suppressLineNumbers w:val="0"/>
              <w:jc w:val="left"/>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noWrap/>
            <w:vAlign w:val="center"/>
          </w:tcPr>
          <w:p w14:paraId="5BDECAF7">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C30泵送</w:t>
            </w:r>
          </w:p>
        </w:tc>
        <w:tc>
          <w:tcPr>
            <w:tcW w:w="1095" w:type="dxa"/>
            <w:tcBorders>
              <w:top w:val="single" w:color="auto" w:sz="4" w:space="0"/>
              <w:left w:val="single" w:color="auto" w:sz="4" w:space="0"/>
              <w:bottom w:val="single" w:color="auto" w:sz="4" w:space="0"/>
              <w:right w:val="single" w:color="auto" w:sz="4" w:space="0"/>
            </w:tcBorders>
            <w:noWrap/>
            <w:vAlign w:val="center"/>
          </w:tcPr>
          <w:p w14:paraId="7E445C76">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noWrap/>
            <w:vAlign w:val="center"/>
          </w:tcPr>
          <w:p w14:paraId="795F3A6D">
            <w:pPr>
              <w:keepNext w:val="0"/>
              <w:keepLines w:val="0"/>
              <w:widowControl/>
              <w:suppressLineNumbers w:val="0"/>
              <w:jc w:val="center"/>
              <w:textAlignment w:val="center"/>
              <w:rPr>
                <w:rFonts w:hint="eastAsia" w:ascii="仿宋" w:hAnsi="仿宋" w:eastAsia="仿宋" w:cs="仿宋"/>
                <w:color w:val="auto"/>
                <w:sz w:val="22"/>
                <w:szCs w:val="22"/>
              </w:rPr>
            </w:pPr>
            <w:r>
              <w:rPr>
                <w:rFonts w:hint="eastAsia" w:ascii="宋体" w:hAnsi="宋体" w:eastAsia="宋体" w:cs="宋体"/>
                <w:i w:val="0"/>
                <w:iCs w:val="0"/>
                <w:color w:val="auto"/>
                <w:kern w:val="0"/>
                <w:sz w:val="20"/>
                <w:szCs w:val="20"/>
                <w:u w:val="none"/>
                <w:lang w:val="en-US" w:eastAsia="zh-CN" w:bidi="ar"/>
              </w:rPr>
              <w:t>23.31</w:t>
            </w:r>
          </w:p>
        </w:tc>
        <w:tc>
          <w:tcPr>
            <w:tcW w:w="1087" w:type="dxa"/>
            <w:tcBorders>
              <w:top w:val="single" w:color="auto" w:sz="4" w:space="0"/>
              <w:left w:val="single" w:color="auto" w:sz="4" w:space="0"/>
              <w:bottom w:val="single" w:color="auto" w:sz="4" w:space="0"/>
              <w:right w:val="single" w:color="auto" w:sz="4" w:space="0"/>
            </w:tcBorders>
            <w:noWrap/>
            <w:vAlign w:val="center"/>
          </w:tcPr>
          <w:p w14:paraId="01E66D1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noWrap/>
            <w:vAlign w:val="center"/>
          </w:tcPr>
          <w:p w14:paraId="5065E5C7">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2D1BC0A8">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188A37FF">
            <w:pPr>
              <w:keepNext w:val="0"/>
              <w:keepLines w:val="0"/>
              <w:widowControl/>
              <w:suppressLineNumbers w:val="0"/>
              <w:jc w:val="center"/>
              <w:textAlignment w:val="center"/>
              <w:rPr>
                <w:rFonts w:hint="eastAsia" w:ascii="仿宋" w:hAnsi="仿宋" w:eastAsia="仿宋" w:cs="仿宋"/>
                <w:color w:val="auto"/>
                <w:sz w:val="22"/>
                <w:szCs w:val="22"/>
                <w:highlight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39A7E0">
            <w:pPr>
              <w:keepNext w:val="0"/>
              <w:keepLines w:val="0"/>
              <w:widowControl/>
              <w:suppressLineNumbers w:val="0"/>
              <w:jc w:val="left"/>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D5618E">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C35泵送</w:t>
            </w: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4D8CAD">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7864DD">
            <w:pPr>
              <w:keepNext w:val="0"/>
              <w:keepLines w:val="0"/>
              <w:widowControl/>
              <w:suppressLineNumbers w:val="0"/>
              <w:jc w:val="center"/>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670.74</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1EF88D">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5B27CB">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19B2688B">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06A21B11">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9</w:t>
            </w:r>
          </w:p>
        </w:tc>
        <w:tc>
          <w:tcPr>
            <w:tcW w:w="1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8AA153">
            <w:pPr>
              <w:keepNext w:val="0"/>
              <w:keepLines w:val="0"/>
              <w:widowControl/>
              <w:suppressLineNumbers w:val="0"/>
              <w:jc w:val="left"/>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普通预拌混凝土</w:t>
            </w:r>
          </w:p>
        </w:tc>
        <w:tc>
          <w:tcPr>
            <w:tcW w:w="17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9CFF0">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C35抗渗P6</w:t>
            </w: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589053">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30DB1C">
            <w:pPr>
              <w:keepNext w:val="0"/>
              <w:keepLines w:val="0"/>
              <w:widowControl/>
              <w:suppressLineNumbers w:val="0"/>
              <w:jc w:val="center"/>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58.95</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682A8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512CDB">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6BF1A012">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0FA1F157">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10</w:t>
            </w:r>
          </w:p>
        </w:tc>
        <w:tc>
          <w:tcPr>
            <w:tcW w:w="1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58E897">
            <w:pPr>
              <w:keepNext w:val="0"/>
              <w:keepLines w:val="0"/>
              <w:widowControl/>
              <w:suppressLineNumbers w:val="0"/>
              <w:jc w:val="left"/>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预拌混凝土</w:t>
            </w:r>
          </w:p>
        </w:tc>
        <w:tc>
          <w:tcPr>
            <w:tcW w:w="17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846A59">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C40(泵送)抗渗P8</w:t>
            </w: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F85EFB">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26F2ED">
            <w:pPr>
              <w:keepNext w:val="0"/>
              <w:keepLines w:val="0"/>
              <w:widowControl/>
              <w:suppressLineNumbers w:val="0"/>
              <w:jc w:val="center"/>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1515.65</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4588AD">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151BC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r>
      <w:tr w14:paraId="2D1FB2EB">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2CEB485A">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11</w:t>
            </w:r>
          </w:p>
        </w:tc>
        <w:tc>
          <w:tcPr>
            <w:tcW w:w="1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F9655C">
            <w:pPr>
              <w:keepNext w:val="0"/>
              <w:keepLines w:val="0"/>
              <w:widowControl/>
              <w:suppressLineNumbers w:val="0"/>
              <w:jc w:val="left"/>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7C3977">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C40泵送</w:t>
            </w: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C3BE1D">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9A6B72">
            <w:pPr>
              <w:keepNext w:val="0"/>
              <w:keepLines w:val="0"/>
              <w:widowControl/>
              <w:suppressLineNumbers w:val="0"/>
              <w:jc w:val="center"/>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61.49</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CA41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C45205">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136E5D3F">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07A97B12">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12</w:t>
            </w:r>
          </w:p>
        </w:tc>
        <w:tc>
          <w:tcPr>
            <w:tcW w:w="1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EB6F9">
            <w:pPr>
              <w:keepNext w:val="0"/>
              <w:keepLines w:val="0"/>
              <w:widowControl/>
              <w:suppressLineNumbers w:val="0"/>
              <w:jc w:val="left"/>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 xml:space="preserve">普通预拌混凝土 </w:t>
            </w:r>
          </w:p>
        </w:tc>
        <w:tc>
          <w:tcPr>
            <w:tcW w:w="17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68B411">
            <w:pPr>
              <w:keepNext w:val="0"/>
              <w:keepLines w:val="0"/>
              <w:widowControl/>
              <w:suppressLineNumbers w:val="0"/>
              <w:jc w:val="center"/>
              <w:textAlignment w:val="center"/>
              <w:rPr>
                <w:rFonts w:hint="eastAsia" w:ascii="仿宋" w:hAnsi="仿宋" w:eastAsia="仿宋" w:cs="仿宋"/>
                <w:i w:val="0"/>
                <w:iCs w:val="0"/>
                <w:color w:val="auto"/>
                <w:kern w:val="0"/>
                <w:sz w:val="22"/>
                <w:szCs w:val="22"/>
                <w:u w:val="none"/>
                <w:lang w:val="en-US" w:eastAsia="zh-CN" w:bidi="ar"/>
              </w:rPr>
            </w:pPr>
            <w:r>
              <w:rPr>
                <w:rFonts w:hint="eastAsia" w:ascii="宋体" w:hAnsi="宋体" w:eastAsia="宋体" w:cs="宋体"/>
                <w:i w:val="0"/>
                <w:iCs w:val="0"/>
                <w:color w:val="auto"/>
                <w:kern w:val="0"/>
                <w:sz w:val="20"/>
                <w:szCs w:val="20"/>
                <w:u w:val="none"/>
                <w:lang w:val="en-US" w:eastAsia="zh-CN" w:bidi="ar"/>
              </w:rPr>
              <w:t>C45抗渗P8</w:t>
            </w: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7CEFD3">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36A7AA">
            <w:pPr>
              <w:keepNext w:val="0"/>
              <w:keepLines w:val="0"/>
              <w:widowControl/>
              <w:suppressLineNumbers w:val="0"/>
              <w:jc w:val="center"/>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32.68</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130215">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8B1911">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4BA07CE2">
        <w:tblPrEx>
          <w:tblCellMar>
            <w:top w:w="0" w:type="dxa"/>
            <w:left w:w="108" w:type="dxa"/>
            <w:bottom w:w="0" w:type="dxa"/>
            <w:right w:w="108" w:type="dxa"/>
          </w:tblCellMar>
        </w:tblPrEx>
        <w:trPr>
          <w:trHeight w:val="715" w:hRule="atLeast"/>
          <w:jc w:val="center"/>
        </w:trPr>
        <w:tc>
          <w:tcPr>
            <w:tcW w:w="463" w:type="dxa"/>
            <w:tcBorders>
              <w:top w:val="single" w:color="auto" w:sz="4" w:space="0"/>
              <w:left w:val="single" w:color="auto" w:sz="4" w:space="0"/>
              <w:bottom w:val="single" w:color="auto" w:sz="4" w:space="0"/>
              <w:right w:val="single" w:color="auto" w:sz="4" w:space="0"/>
            </w:tcBorders>
            <w:noWrap/>
            <w:vAlign w:val="center"/>
          </w:tcPr>
          <w:p w14:paraId="5A42F454">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13</w:t>
            </w:r>
          </w:p>
        </w:tc>
        <w:tc>
          <w:tcPr>
            <w:tcW w:w="1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027F48">
            <w:pPr>
              <w:keepNext w:val="0"/>
              <w:keepLines w:val="0"/>
              <w:widowControl/>
              <w:suppressLineNumbers w:val="0"/>
              <w:jc w:val="left"/>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混凝土垫块</w:t>
            </w:r>
          </w:p>
        </w:tc>
        <w:tc>
          <w:tcPr>
            <w:tcW w:w="176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D7FB4F">
            <w:pPr>
              <w:jc w:val="left"/>
              <w:rPr>
                <w:rFonts w:hint="eastAsia" w:ascii="仿宋" w:hAnsi="仿宋" w:eastAsia="仿宋" w:cs="仿宋"/>
                <w:i w:val="0"/>
                <w:iCs w:val="0"/>
                <w:color w:val="auto"/>
                <w:kern w:val="0"/>
                <w:sz w:val="22"/>
                <w:szCs w:val="22"/>
                <w:u w:val="none"/>
                <w:lang w:val="en-US" w:eastAsia="zh-CN" w:bidi="ar"/>
              </w:rPr>
            </w:pPr>
          </w:p>
        </w:tc>
        <w:tc>
          <w:tcPr>
            <w:tcW w:w="10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AF477E">
            <w:pPr>
              <w:keepNext w:val="0"/>
              <w:keepLines w:val="0"/>
              <w:widowControl/>
              <w:suppressLineNumbers w:val="0"/>
              <w:jc w:val="center"/>
              <w:textAlignment w:val="center"/>
              <w:rPr>
                <w:rFonts w:hint="eastAsia" w:ascii="仿宋" w:hAnsi="仿宋" w:eastAsia="仿宋" w:cs="仿宋"/>
                <w:color w:val="auto"/>
                <w:kern w:val="0"/>
                <w:sz w:val="22"/>
                <w:szCs w:val="22"/>
                <w:lang w:val="en-US" w:eastAsia="zh-CN" w:bidi="ar"/>
              </w:rPr>
            </w:pPr>
            <w:r>
              <w:rPr>
                <w:rFonts w:hint="eastAsia" w:ascii="宋体" w:hAnsi="宋体" w:eastAsia="宋体" w:cs="宋体"/>
                <w:i w:val="0"/>
                <w:iCs w:val="0"/>
                <w:color w:val="auto"/>
                <w:kern w:val="0"/>
                <w:sz w:val="20"/>
                <w:szCs w:val="20"/>
                <w:u w:val="none"/>
                <w:lang w:val="en-US" w:eastAsia="zh-CN" w:bidi="ar"/>
              </w:rPr>
              <w:t>m3</w:t>
            </w:r>
          </w:p>
        </w:tc>
        <w:tc>
          <w:tcPr>
            <w:tcW w:w="11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125471">
            <w:pPr>
              <w:keepNext w:val="0"/>
              <w:keepLines w:val="0"/>
              <w:widowControl/>
              <w:suppressLineNumbers w:val="0"/>
              <w:jc w:val="center"/>
              <w:textAlignment w:val="center"/>
              <w:rPr>
                <w:rFonts w:hint="eastAsia" w:ascii="仿宋" w:hAnsi="仿宋" w:eastAsia="仿宋" w:cs="仿宋"/>
                <w:color w:val="auto"/>
                <w:kern w:val="2"/>
                <w:sz w:val="22"/>
                <w:szCs w:val="22"/>
                <w:lang w:val="en-US" w:eastAsia="zh-CN" w:bidi="ar-SA"/>
              </w:rPr>
            </w:pPr>
            <w:r>
              <w:rPr>
                <w:rFonts w:hint="eastAsia" w:ascii="宋体" w:hAnsi="宋体" w:eastAsia="宋体" w:cs="宋体"/>
                <w:i w:val="0"/>
                <w:iCs w:val="0"/>
                <w:color w:val="auto"/>
                <w:kern w:val="0"/>
                <w:sz w:val="20"/>
                <w:szCs w:val="20"/>
                <w:u w:val="none"/>
                <w:lang w:val="en-US" w:eastAsia="zh-CN" w:bidi="ar"/>
              </w:rPr>
              <w:t>0.39</w:t>
            </w:r>
          </w:p>
        </w:tc>
        <w:tc>
          <w:tcPr>
            <w:tcW w:w="108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1ED632">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2DA60D">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14:paraId="337B2A6D">
        <w:tblPrEx>
          <w:tblCellMar>
            <w:top w:w="0" w:type="dxa"/>
            <w:left w:w="108" w:type="dxa"/>
            <w:bottom w:w="0" w:type="dxa"/>
            <w:right w:w="108" w:type="dxa"/>
          </w:tblCellMar>
        </w:tblPrEx>
        <w:trPr>
          <w:trHeight w:val="495" w:hRule="atLeast"/>
          <w:jc w:val="center"/>
        </w:trPr>
        <w:tc>
          <w:tcPr>
            <w:tcW w:w="7235" w:type="dxa"/>
            <w:gridSpan w:val="6"/>
            <w:tcBorders>
              <w:top w:val="single" w:color="auto" w:sz="4" w:space="0"/>
              <w:left w:val="single" w:color="auto" w:sz="4" w:space="0"/>
              <w:bottom w:val="single" w:color="auto" w:sz="4" w:space="0"/>
              <w:right w:val="single" w:color="auto" w:sz="4" w:space="0"/>
            </w:tcBorders>
            <w:noWrap/>
            <w:vAlign w:val="center"/>
          </w:tcPr>
          <w:p w14:paraId="321E0EE9">
            <w:pPr>
              <w:jc w:val="center"/>
              <w:rPr>
                <w:rFonts w:hint="eastAsia" w:ascii="仿宋" w:hAnsi="仿宋" w:eastAsia="仿宋" w:cs="仿宋"/>
                <w:b/>
                <w:color w:val="auto"/>
                <w:sz w:val="22"/>
                <w:szCs w:val="22"/>
              </w:rPr>
            </w:pPr>
            <w:r>
              <w:rPr>
                <w:rFonts w:hint="eastAsia" w:ascii="仿宋" w:hAnsi="仿宋" w:eastAsia="仿宋" w:cs="宋体"/>
                <w:b/>
                <w:bCs/>
                <w:color w:val="auto"/>
                <w:sz w:val="24"/>
              </w:rPr>
              <w:t>不含增值税总价</w:t>
            </w: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04B4AE">
            <w:pPr>
              <w:keepNext w:val="0"/>
              <w:keepLines w:val="0"/>
              <w:widowControl/>
              <w:suppressLineNumbers w:val="0"/>
              <w:jc w:val="center"/>
              <w:textAlignment w:val="center"/>
              <w:rPr>
                <w:rFonts w:hint="eastAsia" w:ascii="宋体" w:hAnsi="宋体" w:eastAsia="宋体" w:cs="宋体"/>
                <w:b/>
                <w:bCs/>
                <w:i w:val="0"/>
                <w:iCs w:val="0"/>
                <w:color w:val="auto"/>
                <w:kern w:val="2"/>
                <w:sz w:val="20"/>
                <w:szCs w:val="20"/>
                <w:u w:val="none"/>
                <w:lang w:val="en-US" w:eastAsia="zh-CN" w:bidi="ar-SA"/>
              </w:rPr>
            </w:pPr>
          </w:p>
        </w:tc>
      </w:tr>
      <w:tr w14:paraId="5CE1540A">
        <w:tblPrEx>
          <w:tblCellMar>
            <w:top w:w="0" w:type="dxa"/>
            <w:left w:w="108" w:type="dxa"/>
            <w:bottom w:w="0" w:type="dxa"/>
            <w:right w:w="108" w:type="dxa"/>
          </w:tblCellMar>
        </w:tblPrEx>
        <w:trPr>
          <w:trHeight w:val="502" w:hRule="atLeast"/>
          <w:jc w:val="center"/>
        </w:trPr>
        <w:tc>
          <w:tcPr>
            <w:tcW w:w="7235" w:type="dxa"/>
            <w:gridSpan w:val="6"/>
            <w:tcBorders>
              <w:top w:val="single" w:color="auto" w:sz="4" w:space="0"/>
              <w:left w:val="single" w:color="auto" w:sz="4" w:space="0"/>
              <w:bottom w:val="single" w:color="auto" w:sz="4" w:space="0"/>
              <w:right w:val="single" w:color="auto" w:sz="4" w:space="0"/>
            </w:tcBorders>
            <w:noWrap/>
            <w:vAlign w:val="center"/>
          </w:tcPr>
          <w:p w14:paraId="2116E594">
            <w:pPr>
              <w:jc w:val="center"/>
              <w:rPr>
                <w:rFonts w:hint="eastAsia" w:ascii="仿宋" w:hAnsi="仿宋" w:eastAsia="仿宋" w:cs="仿宋"/>
                <w:b/>
                <w:color w:val="auto"/>
                <w:sz w:val="22"/>
                <w:szCs w:val="22"/>
              </w:rPr>
            </w:pPr>
            <w:r>
              <w:rPr>
                <w:rFonts w:hint="eastAsia" w:ascii="仿宋" w:hAnsi="仿宋" w:eastAsia="仿宋" w:cs="宋体"/>
                <w:b/>
                <w:bCs/>
                <w:color w:val="auto"/>
                <w:sz w:val="24"/>
              </w:rPr>
              <w:t>增值税（</w:t>
            </w:r>
            <w:r>
              <w:rPr>
                <w:rFonts w:hint="eastAsia" w:ascii="仿宋" w:hAnsi="仿宋" w:eastAsia="仿宋" w:cs="宋体"/>
                <w:b/>
                <w:bCs/>
                <w:color w:val="auto"/>
                <w:sz w:val="24"/>
                <w:lang w:val="en-US" w:eastAsia="zh-CN"/>
              </w:rPr>
              <w:t xml:space="preserve">  </w:t>
            </w:r>
            <w:r>
              <w:rPr>
                <w:rFonts w:hint="eastAsia" w:ascii="仿宋" w:hAnsi="仿宋" w:eastAsia="仿宋" w:cs="宋体"/>
                <w:b/>
                <w:bCs/>
                <w:color w:val="auto"/>
                <w:sz w:val="24"/>
              </w:rPr>
              <w:t>%）</w:t>
            </w: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AB4D15">
            <w:pPr>
              <w:keepNext w:val="0"/>
              <w:keepLines w:val="0"/>
              <w:widowControl/>
              <w:suppressLineNumbers w:val="0"/>
              <w:jc w:val="center"/>
              <w:textAlignment w:val="center"/>
              <w:rPr>
                <w:rFonts w:hint="eastAsia" w:ascii="宋体" w:hAnsi="宋体" w:eastAsia="宋体" w:cs="宋体"/>
                <w:b/>
                <w:bCs/>
                <w:i w:val="0"/>
                <w:iCs w:val="0"/>
                <w:color w:val="auto"/>
                <w:kern w:val="2"/>
                <w:sz w:val="20"/>
                <w:szCs w:val="20"/>
                <w:u w:val="none"/>
                <w:lang w:val="en-US" w:eastAsia="zh-CN" w:bidi="ar-SA"/>
              </w:rPr>
            </w:pPr>
          </w:p>
        </w:tc>
      </w:tr>
      <w:tr w14:paraId="79EB18CC">
        <w:tblPrEx>
          <w:tblCellMar>
            <w:top w:w="0" w:type="dxa"/>
            <w:left w:w="108" w:type="dxa"/>
            <w:bottom w:w="0" w:type="dxa"/>
            <w:right w:w="108" w:type="dxa"/>
          </w:tblCellMar>
        </w:tblPrEx>
        <w:trPr>
          <w:trHeight w:val="477" w:hRule="atLeast"/>
          <w:jc w:val="center"/>
        </w:trPr>
        <w:tc>
          <w:tcPr>
            <w:tcW w:w="7235" w:type="dxa"/>
            <w:gridSpan w:val="6"/>
            <w:tcBorders>
              <w:top w:val="single" w:color="auto" w:sz="4" w:space="0"/>
              <w:left w:val="single" w:color="auto" w:sz="4" w:space="0"/>
              <w:bottom w:val="single" w:color="auto" w:sz="4" w:space="0"/>
              <w:right w:val="single" w:color="auto" w:sz="4" w:space="0"/>
            </w:tcBorders>
            <w:noWrap/>
            <w:vAlign w:val="center"/>
          </w:tcPr>
          <w:p w14:paraId="176A77B1">
            <w:pPr>
              <w:jc w:val="center"/>
              <w:rPr>
                <w:rFonts w:hint="eastAsia" w:ascii="仿宋" w:hAnsi="仿宋" w:eastAsia="仿宋" w:cs="仿宋"/>
                <w:b/>
                <w:color w:val="auto"/>
                <w:sz w:val="22"/>
                <w:szCs w:val="22"/>
              </w:rPr>
            </w:pPr>
            <w:r>
              <w:rPr>
                <w:rFonts w:hint="eastAsia" w:ascii="仿宋" w:hAnsi="仿宋" w:eastAsia="仿宋" w:cs="宋体"/>
                <w:b/>
                <w:bCs/>
                <w:color w:val="auto"/>
                <w:sz w:val="24"/>
              </w:rPr>
              <w:t>含增值税合计</w:t>
            </w:r>
          </w:p>
        </w:tc>
        <w:tc>
          <w:tcPr>
            <w:tcW w:w="15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3A755F">
            <w:pPr>
              <w:keepNext w:val="0"/>
              <w:keepLines w:val="0"/>
              <w:widowControl/>
              <w:suppressLineNumbers w:val="0"/>
              <w:jc w:val="center"/>
              <w:textAlignment w:val="center"/>
              <w:rPr>
                <w:rFonts w:hint="eastAsia" w:ascii="宋体" w:hAnsi="宋体" w:eastAsia="宋体" w:cs="宋体"/>
                <w:b/>
                <w:bCs/>
                <w:i w:val="0"/>
                <w:iCs w:val="0"/>
                <w:color w:val="auto"/>
                <w:kern w:val="2"/>
                <w:sz w:val="20"/>
                <w:szCs w:val="20"/>
                <w:u w:val="none"/>
                <w:lang w:val="en-US" w:eastAsia="zh-CN" w:bidi="ar-SA"/>
              </w:rPr>
            </w:pPr>
          </w:p>
        </w:tc>
      </w:tr>
      <w:tr w14:paraId="3D376187">
        <w:tblPrEx>
          <w:tblCellMar>
            <w:top w:w="0" w:type="dxa"/>
            <w:left w:w="108" w:type="dxa"/>
            <w:bottom w:w="0" w:type="dxa"/>
            <w:right w:w="108" w:type="dxa"/>
          </w:tblCellMar>
        </w:tblPrEx>
        <w:trPr>
          <w:trHeight w:val="590" w:hRule="atLeast"/>
          <w:jc w:val="center"/>
        </w:trPr>
        <w:tc>
          <w:tcPr>
            <w:tcW w:w="8776" w:type="dxa"/>
            <w:gridSpan w:val="7"/>
            <w:tcBorders>
              <w:top w:val="single" w:color="auto" w:sz="4" w:space="0"/>
              <w:left w:val="single" w:color="auto" w:sz="4" w:space="0"/>
              <w:bottom w:val="single" w:color="auto" w:sz="4" w:space="0"/>
              <w:right w:val="single" w:color="auto" w:sz="4" w:space="0"/>
            </w:tcBorders>
            <w:noWrap/>
            <w:vAlign w:val="center"/>
          </w:tcPr>
          <w:p w14:paraId="4FB03397">
            <w:pPr>
              <w:widowControl w:val="0"/>
              <w:autoSpaceDN w:val="0"/>
              <w:spacing w:after="120" w:line="24" w:lineRule="atLeast"/>
              <w:jc w:val="both"/>
              <w:rPr>
                <w:rFonts w:hint="eastAsia" w:ascii="仿宋" w:hAnsi="仿宋" w:eastAsia="仿宋" w:cs="仿宋"/>
                <w:b/>
                <w:bCs/>
                <w:i w:val="0"/>
                <w:iCs w:val="0"/>
                <w:color w:val="auto"/>
                <w:kern w:val="0"/>
                <w:sz w:val="22"/>
                <w:szCs w:val="22"/>
                <w:highlight w:val="yellow"/>
                <w:u w:val="none"/>
                <w:lang w:val="en-US" w:eastAsia="zh-CN" w:bidi="ar"/>
              </w:rPr>
            </w:pPr>
            <w:r>
              <w:rPr>
                <w:rFonts w:hint="eastAsia" w:ascii="仿宋" w:hAnsi="仿宋" w:eastAsia="仿宋" w:cs="宋体"/>
                <w:bCs/>
                <w:color w:val="auto"/>
                <w:kern w:val="2"/>
                <w:sz w:val="24"/>
                <w:szCs w:val="21"/>
                <w:highlight w:val="none"/>
                <w:lang w:val="en-US" w:eastAsia="zh-CN" w:bidi="ar-SA"/>
              </w:rPr>
              <w:t>备注：</w:t>
            </w:r>
          </w:p>
        </w:tc>
      </w:tr>
    </w:tbl>
    <w:p w14:paraId="0633BC1F">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仿宋" w:hAnsi="仿宋" w:eastAsia="仿宋" w:cs="宋体"/>
          <w:b/>
          <w:color w:val="auto"/>
          <w:sz w:val="24"/>
        </w:rPr>
      </w:pPr>
      <w:r>
        <w:rPr>
          <w:rFonts w:hint="eastAsia" w:ascii="仿宋" w:hAnsi="仿宋" w:eastAsia="仿宋" w:cs="宋体"/>
          <w:b/>
          <w:color w:val="auto"/>
          <w:sz w:val="24"/>
        </w:rPr>
        <w:t>二、甲方工程资料</w:t>
      </w:r>
    </w:p>
    <w:p w14:paraId="3F353F0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仿宋" w:hAnsi="仿宋" w:eastAsia="仿宋" w:cs="宋体"/>
          <w:bCs/>
          <w:color w:val="auto"/>
          <w:sz w:val="24"/>
          <w:lang w:val="en-US" w:eastAsia="zh-CN"/>
        </w:rPr>
      </w:pPr>
      <w:r>
        <w:rPr>
          <w:rFonts w:ascii="仿宋" w:hAnsi="仿宋" w:eastAsia="仿宋" w:cs="宋体"/>
          <w:bCs/>
          <w:color w:val="auto"/>
          <w:sz w:val="24"/>
        </w:rPr>
        <w:t>1</w:t>
      </w:r>
      <w:r>
        <w:rPr>
          <w:rFonts w:hint="eastAsia" w:ascii="仿宋" w:hAnsi="仿宋" w:eastAsia="仿宋" w:cs="宋体"/>
          <w:bCs/>
          <w:color w:val="auto"/>
          <w:sz w:val="24"/>
        </w:rPr>
        <w:t>、工程名称：</w:t>
      </w:r>
      <w:r>
        <w:rPr>
          <w:rFonts w:hint="eastAsia" w:ascii="仿宋" w:hAnsi="仿宋" w:eastAsia="仿宋" w:cs="宋体"/>
          <w:bCs/>
          <w:color w:val="auto"/>
          <w:sz w:val="24"/>
          <w:u w:val="single"/>
          <w:lang w:val="en-US" w:eastAsia="zh-CN"/>
        </w:rPr>
        <w:t xml:space="preserve">                  </w:t>
      </w:r>
    </w:p>
    <w:p w14:paraId="2A829EF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仿宋" w:hAnsi="仿宋" w:eastAsia="仿宋" w:cs="宋体"/>
          <w:bCs/>
          <w:color w:val="auto"/>
          <w:sz w:val="24"/>
          <w:u w:val="single"/>
          <w:lang w:val="en-US" w:eastAsia="zh-CN"/>
        </w:rPr>
      </w:pPr>
      <w:r>
        <w:rPr>
          <w:rFonts w:ascii="仿宋" w:hAnsi="仿宋" w:eastAsia="仿宋" w:cs="宋体"/>
          <w:bCs/>
          <w:color w:val="auto"/>
          <w:sz w:val="24"/>
        </w:rPr>
        <w:t>2</w:t>
      </w:r>
      <w:r>
        <w:rPr>
          <w:rFonts w:hint="eastAsia" w:ascii="仿宋" w:hAnsi="仿宋" w:eastAsia="仿宋" w:cs="宋体"/>
          <w:bCs/>
          <w:color w:val="auto"/>
          <w:sz w:val="24"/>
        </w:rPr>
        <w:t>、工程地址：</w:t>
      </w:r>
      <w:r>
        <w:rPr>
          <w:rFonts w:hint="eastAsia" w:ascii="仿宋" w:hAnsi="仿宋" w:eastAsia="仿宋" w:cs="宋体"/>
          <w:bCs/>
          <w:color w:val="auto"/>
          <w:sz w:val="24"/>
          <w:u w:val="single"/>
          <w:lang w:val="en-US" w:eastAsia="zh-CN"/>
        </w:rPr>
        <w:t xml:space="preserve">             </w:t>
      </w:r>
    </w:p>
    <w:p w14:paraId="1C29DAB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宋体"/>
          <w:bCs/>
          <w:color w:val="auto"/>
          <w:sz w:val="24"/>
          <w:u w:val="single"/>
        </w:rPr>
      </w:pPr>
      <w:r>
        <w:rPr>
          <w:rFonts w:ascii="仿宋" w:hAnsi="仿宋" w:eastAsia="仿宋" w:cs="宋体"/>
          <w:bCs/>
          <w:color w:val="auto"/>
          <w:sz w:val="24"/>
        </w:rPr>
        <w:t>3</w:t>
      </w:r>
      <w:r>
        <w:rPr>
          <w:rFonts w:hint="eastAsia" w:ascii="仿宋" w:hAnsi="仿宋" w:eastAsia="仿宋" w:cs="宋体"/>
          <w:bCs/>
          <w:color w:val="auto"/>
          <w:sz w:val="24"/>
        </w:rPr>
        <w:t>、供应数量：</w:t>
      </w:r>
      <w:r>
        <w:rPr>
          <w:rFonts w:hint="eastAsia" w:ascii="仿宋" w:hAnsi="仿宋" w:eastAsia="仿宋" w:cs="宋体"/>
          <w:bCs/>
          <w:color w:val="auto"/>
          <w:sz w:val="24"/>
          <w:u w:val="single"/>
        </w:rPr>
        <w:t>约</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u w:val="single"/>
        </w:rPr>
        <w:t>立方；（具体按照使用数量结算）</w:t>
      </w:r>
    </w:p>
    <w:p w14:paraId="5A67D7B1">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Times New Roman"/>
          <w:color w:val="auto"/>
          <w:sz w:val="24"/>
        </w:rPr>
      </w:pPr>
      <w:r>
        <w:rPr>
          <w:rFonts w:hint="eastAsia" w:ascii="仿宋" w:hAnsi="仿宋" w:eastAsia="仿宋" w:cs="宋体"/>
          <w:bCs/>
          <w:color w:val="auto"/>
          <w:sz w:val="24"/>
        </w:rPr>
        <w:t>4、供应暂定金额</w:t>
      </w:r>
      <w:r>
        <w:rPr>
          <w:rFonts w:hint="eastAsia" w:ascii="仿宋" w:hAnsi="仿宋" w:eastAsia="仿宋" w:cs="Times New Roman"/>
          <w:color w:val="auto"/>
          <w:sz w:val="24"/>
        </w:rPr>
        <w:t>总价为人民币</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），其中不含增值税总价</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w:t>
      </w:r>
      <w:r>
        <w:rPr>
          <w:rFonts w:hint="eastAsia" w:ascii="仿宋" w:hAnsi="仿宋" w:eastAsia="仿宋" w:cs="宋体"/>
          <w:b w:val="0"/>
          <w:bCs/>
          <w:color w:val="auto"/>
          <w:sz w:val="24"/>
        </w:rPr>
        <w:t>（增值税税率随国家政策和适用税率同步调整）</w:t>
      </w:r>
      <w:r>
        <w:rPr>
          <w:rFonts w:hint="eastAsia" w:ascii="仿宋" w:hAnsi="仿宋" w:eastAsia="仿宋" w:cs="Times New Roman"/>
          <w:color w:val="auto"/>
          <w:sz w:val="24"/>
        </w:rPr>
        <w:t>；本合同暂定总价不作为双方最终结算的依据。结算供货量按实际发生的每月得到甲方签认计量的供货量为准，材料验收合格后由双方验收人员在送货单上签字。每月材料对账根据甲乙双方材料验收人员签字的单据经行汇总，对账汇总表甲乙双方必须加盖公章及签名确认，签名确认为项目经理。最终结算以双方签名加盖公章的汇总表为准。</w:t>
      </w:r>
    </w:p>
    <w:p w14:paraId="4A99C0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Times New Roman"/>
          <w:color w:val="auto"/>
          <w:sz w:val="24"/>
        </w:rPr>
      </w:pPr>
      <w:r>
        <w:rPr>
          <w:rFonts w:hint="eastAsia" w:ascii="仿宋" w:hAnsi="仿宋" w:eastAsia="仿宋" w:cs="Times New Roman"/>
          <w:color w:val="auto"/>
          <w:sz w:val="24"/>
        </w:rPr>
        <w:t>本合同不含增值税总价包含了除增值税以外的一切税费</w:t>
      </w:r>
      <w:r>
        <w:rPr>
          <w:rFonts w:hint="eastAsia" w:ascii="仿宋" w:hAnsi="仿宋" w:eastAsia="仿宋" w:cs="Times New Roman"/>
          <w:color w:val="auto"/>
          <w:sz w:val="24"/>
          <w:lang w:eastAsia="zh-CN"/>
        </w:rPr>
        <w:t>（</w:t>
      </w:r>
      <w:r>
        <w:rPr>
          <w:rFonts w:hint="eastAsia" w:ascii="仿宋" w:hAnsi="仿宋" w:eastAsia="仿宋" w:cs="Times New Roman"/>
          <w:color w:val="auto"/>
          <w:sz w:val="24"/>
        </w:rPr>
        <w:t>包括但不限于为实施本合同应缴纳的企业所得税、个人所得税、印花税、资源税、城市维护建设税、教育费附加、地方教育附加、堤围防护费等）。</w:t>
      </w:r>
    </w:p>
    <w:p w14:paraId="2F3B5B2E">
      <w:pPr>
        <w:keepNext w:val="0"/>
        <w:keepLines w:val="0"/>
        <w:pageBreakBefore w:val="0"/>
        <w:widowControl w:val="0"/>
        <w:kinsoku/>
        <w:wordWrap/>
        <w:overflowPunct/>
        <w:topLinePunct w:val="0"/>
        <w:autoSpaceDE/>
        <w:autoSpaceDN/>
        <w:bidi w:val="0"/>
        <w:spacing w:line="360" w:lineRule="auto"/>
        <w:ind w:firstLine="482" w:firstLineChars="200"/>
        <w:textAlignment w:val="auto"/>
        <w:rPr>
          <w:rFonts w:hint="eastAsia" w:ascii="仿宋" w:hAnsi="仿宋" w:eastAsia="仿宋" w:cs="宋体"/>
          <w:bCs/>
          <w:color w:val="auto"/>
          <w:sz w:val="24"/>
        </w:rPr>
      </w:pPr>
      <w:r>
        <w:rPr>
          <w:rFonts w:hint="eastAsia" w:ascii="仿宋" w:hAnsi="仿宋" w:eastAsia="仿宋" w:cs="宋体"/>
          <w:b/>
          <w:color w:val="auto"/>
          <w:sz w:val="24"/>
        </w:rPr>
        <w:t>三、乙方责任</w:t>
      </w:r>
    </w:p>
    <w:p w14:paraId="480B5ABB">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、按甲方《用料计划》（电话、传真方式）通知时间和供货数量等要求按时送料到工地现场；（因不可抗力因素无法供货，乙方应提前</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小时通告甲方。乙方供货必须确保供货时间准时、及时，因供料中断而导致泵车、人工窝工及影响施工质量（泵车、人工窝工台班按现场实际确认），应赔偿甲方因此而造成的经济损失。因乙方原因，未能按甲方项目部施工时间、需求等供货的，乙方应承担造成质量事故的一切责任和误工所增加的全部费用，且甲方有权更换供货商，乙方必须无条件配合。</w:t>
      </w:r>
    </w:p>
    <w:p w14:paraId="00EA5AB3">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、送料车到现场后必须听从甲方施工人员的指挥，因司机违反工地指挥而引致的安全责任、机械材料损坏、成品半成品破坏等相关责任由乙方负责。</w:t>
      </w:r>
    </w:p>
    <w:p w14:paraId="487EA2B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乙方应按甲方要求准确无误地送料到甲方工地，乙方质量保证限于现场取样。甲方应按每批混凝土浇灌部位核对供货方送货单。因乙方送错混凝土或混凝土本身质量问题造成的工程质量事故而引起的经济损失由乙方负责。</w:t>
      </w:r>
    </w:p>
    <w:p w14:paraId="021E8843">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4</w:t>
      </w:r>
      <w:r>
        <w:rPr>
          <w:rFonts w:hint="eastAsia" w:ascii="仿宋" w:hAnsi="仿宋" w:eastAsia="仿宋" w:cs="宋体"/>
          <w:bCs/>
          <w:color w:val="auto"/>
          <w:sz w:val="24"/>
        </w:rPr>
        <w:t>、为确保工程质量情况，当甲方按《混凝土结构工程施工及验收规范》（</w:t>
      </w:r>
      <w:r>
        <w:rPr>
          <w:rFonts w:ascii="仿宋" w:hAnsi="仿宋" w:eastAsia="仿宋" w:cs="宋体"/>
          <w:bCs/>
          <w:color w:val="auto"/>
          <w:sz w:val="24"/>
        </w:rPr>
        <w:t>GB50204-2015</w:t>
      </w:r>
      <w:r>
        <w:rPr>
          <w:rFonts w:hint="eastAsia" w:ascii="仿宋" w:hAnsi="仿宋" w:eastAsia="仿宋" w:cs="宋体"/>
          <w:bCs/>
          <w:color w:val="auto"/>
          <w:sz w:val="24"/>
        </w:rPr>
        <w:t>）的规定进行施工和养护后，乙方需提供相关技术支持，确保结构物不出现开裂情况。现约定如下：</w:t>
      </w:r>
    </w:p>
    <w:p w14:paraId="1249760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1</w:t>
      </w:r>
      <w:r>
        <w:rPr>
          <w:rFonts w:hint="eastAsia" w:ascii="仿宋" w:hAnsi="仿宋" w:eastAsia="仿宋" w:cs="宋体"/>
          <w:bCs/>
          <w:color w:val="auto"/>
          <w:sz w:val="24"/>
        </w:rPr>
        <w:t>）如果出现混凝土结构开裂，造成开裂部分原因及责任归属于乙方的情况下，乙方须承担由此造成的</w:t>
      </w:r>
      <w:r>
        <w:rPr>
          <w:rFonts w:hint="eastAsia" w:ascii="仿宋" w:hAnsi="仿宋" w:eastAsia="仿宋" w:cs="宋体"/>
          <w:bCs/>
          <w:color w:val="auto"/>
          <w:sz w:val="24"/>
          <w:u w:val="single"/>
          <w:lang w:val="en-US" w:eastAsia="zh-CN"/>
        </w:rPr>
        <w:t xml:space="preserve">   </w:t>
      </w:r>
      <w:r>
        <w:rPr>
          <w:rFonts w:ascii="仿宋" w:hAnsi="仿宋" w:eastAsia="仿宋" w:cs="宋体"/>
          <w:bCs/>
          <w:color w:val="auto"/>
          <w:sz w:val="24"/>
        </w:rPr>
        <w:t>%</w:t>
      </w:r>
      <w:r>
        <w:rPr>
          <w:rFonts w:hint="eastAsia" w:ascii="仿宋" w:hAnsi="仿宋" w:eastAsia="仿宋" w:cs="宋体"/>
          <w:bCs/>
          <w:color w:val="auto"/>
          <w:sz w:val="24"/>
        </w:rPr>
        <w:t>经济损失。</w:t>
      </w:r>
    </w:p>
    <w:p w14:paraId="20AC6DA3">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2</w:t>
      </w:r>
      <w:r>
        <w:rPr>
          <w:rFonts w:hint="eastAsia" w:ascii="仿宋" w:hAnsi="仿宋" w:eastAsia="仿宋" w:cs="宋体"/>
          <w:bCs/>
          <w:color w:val="auto"/>
          <w:sz w:val="24"/>
        </w:rPr>
        <w:t>）如果出现混凝土结构开裂，由具备相关资质单位判定造成开裂的原因及责任是由于混凝土质量不合格所致，乙方须承担由此所造成的全部责任及经济损失。</w:t>
      </w:r>
    </w:p>
    <w:p w14:paraId="471DDEB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仿宋" w:hAnsi="仿宋" w:eastAsia="仿宋" w:cs="宋体"/>
          <w:bCs/>
          <w:color w:val="auto"/>
          <w:kern w:val="2"/>
          <w:sz w:val="24"/>
          <w:szCs w:val="24"/>
          <w:lang w:val="en-US" w:eastAsia="zh-CN" w:bidi="ar-SA"/>
        </w:rPr>
      </w:pPr>
      <w:r>
        <w:rPr>
          <w:rFonts w:hint="eastAsia" w:ascii="仿宋" w:hAnsi="仿宋" w:eastAsia="仿宋" w:cs="宋体"/>
          <w:bCs/>
          <w:color w:val="auto"/>
          <w:kern w:val="2"/>
          <w:sz w:val="24"/>
          <w:szCs w:val="24"/>
          <w:lang w:val="en-US" w:eastAsia="zh-CN" w:bidi="ar-SA"/>
        </w:rPr>
        <w:t>（3）由于混凝土在甲方施工过程中浇筑振捣不良、拆模过早、随意加水改变水灰比、缺少保养防护等原因引起的碳化深度大于</w:t>
      </w:r>
      <w:r>
        <w:rPr>
          <w:rFonts w:ascii="仿宋" w:hAnsi="仿宋" w:eastAsia="仿宋" w:cs="宋体"/>
          <w:bCs/>
          <w:color w:val="auto"/>
          <w:kern w:val="2"/>
          <w:sz w:val="24"/>
          <w:szCs w:val="24"/>
          <w:lang w:val="en-US" w:eastAsia="zh-CN" w:bidi="ar-SA"/>
        </w:rPr>
        <w:t>2.0mm</w:t>
      </w:r>
      <w:r>
        <w:rPr>
          <w:rFonts w:hint="eastAsia" w:ascii="仿宋" w:hAnsi="仿宋" w:eastAsia="仿宋" w:cs="宋体"/>
          <w:bCs/>
          <w:color w:val="auto"/>
          <w:kern w:val="2"/>
          <w:sz w:val="24"/>
          <w:szCs w:val="24"/>
          <w:lang w:val="en-US" w:eastAsia="zh-CN" w:bidi="ar-SA"/>
        </w:rPr>
        <w:t>以上的任何责任由甲方承担。</w:t>
      </w:r>
    </w:p>
    <w:p w14:paraId="18C0EA3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宋体"/>
          <w:bCs/>
          <w:color w:val="auto"/>
          <w:sz w:val="24"/>
          <w:u w:val="single"/>
        </w:rPr>
      </w:pPr>
      <w:r>
        <w:rPr>
          <w:rFonts w:hint="eastAsia" w:ascii="仿宋" w:hAnsi="仿宋" w:eastAsia="仿宋" w:cs="宋体"/>
          <w:bCs/>
          <w:color w:val="auto"/>
          <w:sz w:val="24"/>
        </w:rPr>
        <w:t>5、乙方生产控制室电话号码</w:t>
      </w:r>
      <w:r>
        <w:rPr>
          <w:rFonts w:hint="eastAsia" w:ascii="仿宋" w:hAnsi="仿宋" w:eastAsia="仿宋" w:cs="宋体"/>
          <w:bCs/>
          <w:color w:val="auto"/>
          <w:sz w:val="24"/>
          <w:u w:val="single"/>
        </w:rPr>
        <w:t xml:space="preserve"> </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u w:val="single"/>
        </w:rPr>
        <w:t xml:space="preserve"> </w:t>
      </w:r>
      <w:r>
        <w:rPr>
          <w:rFonts w:hint="eastAsia" w:ascii="仿宋" w:hAnsi="仿宋" w:eastAsia="仿宋" w:cs="宋体"/>
          <w:bCs/>
          <w:color w:val="auto"/>
          <w:sz w:val="24"/>
        </w:rPr>
        <w:t>；乙方接到甲方《用料计划》传真或电话后，须传真或电话向甲方确认。乙方发货联系人：</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w:t>
      </w:r>
      <w:r>
        <w:rPr>
          <w:rFonts w:hint="eastAsia" w:ascii="仿宋" w:hAnsi="仿宋" w:eastAsia="仿宋" w:cs="Times New Roman"/>
          <w:color w:val="auto"/>
          <w:sz w:val="24"/>
        </w:rPr>
        <w:t>身份证号：</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rPr>
        <w:t>，</w:t>
      </w:r>
      <w:r>
        <w:rPr>
          <w:rFonts w:hint="eastAsia" w:ascii="仿宋" w:hAnsi="仿宋" w:eastAsia="仿宋" w:cs="宋体"/>
          <w:bCs/>
          <w:color w:val="auto"/>
          <w:sz w:val="24"/>
        </w:rPr>
        <w:t>联系电话：</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w:t>
      </w:r>
      <w:r>
        <w:rPr>
          <w:rFonts w:hint="eastAsia" w:ascii="仿宋" w:hAnsi="仿宋" w:eastAsia="仿宋" w:cs="Times New Roman"/>
          <w:color w:val="auto"/>
          <w:sz w:val="24"/>
        </w:rPr>
        <w:t>乙方须将货物运至交货地点交甲方联系人签收确认方为有效。非本合同约定甲方联系人签收的送货单，视为甲方未收到相应货物，对甲方不具有效力。</w:t>
      </w:r>
    </w:p>
    <w:p w14:paraId="7CFCB586">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6</w:t>
      </w:r>
      <w:r>
        <w:rPr>
          <w:rFonts w:hint="eastAsia" w:ascii="仿宋" w:hAnsi="仿宋" w:eastAsia="仿宋" w:cs="宋体"/>
          <w:bCs/>
          <w:color w:val="auto"/>
          <w:sz w:val="24"/>
        </w:rPr>
        <w:t>、每批砼供应，乙方需提供砼配料单。</w:t>
      </w:r>
    </w:p>
    <w:p w14:paraId="76DAA86B">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7</w:t>
      </w:r>
      <w:r>
        <w:rPr>
          <w:rFonts w:hint="eastAsia" w:ascii="仿宋" w:hAnsi="仿宋" w:eastAsia="仿宋" w:cs="宋体"/>
          <w:bCs/>
          <w:color w:val="auto"/>
          <w:sz w:val="24"/>
        </w:rPr>
        <w:t>、供应商应建立健全质量保证体系，严格按国家标准和规范组织生产，根据合同和甲方通知要求，保质、保量、按时完成混凝土生产供应任务。配合比(如需配合比验证，按需方设计要求选材，避免因验证所需时间和供货时间冲突)经甲方验证后，不可随意调整，如需调整应提前</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天通知甲方。</w:t>
      </w:r>
    </w:p>
    <w:p w14:paraId="70AFEEA5">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8</w:t>
      </w:r>
      <w:r>
        <w:rPr>
          <w:rFonts w:hint="eastAsia" w:ascii="仿宋" w:hAnsi="仿宋" w:eastAsia="仿宋" w:cs="宋体"/>
          <w:bCs/>
          <w:color w:val="auto"/>
          <w:sz w:val="24"/>
        </w:rPr>
        <w:t>、乙方负责按国家规范设计商品混凝土的配合比，同一部位的混凝土必须使用同一配比并采用同一品种规格的原材料。乙方应及时按不同混凝土品种等级向甲方提供商品混凝土出厂质量证明书和产品使用说明书，及时提供全部有关技术资料。</w:t>
      </w:r>
    </w:p>
    <w:p w14:paraId="60A876E7">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9</w:t>
      </w:r>
      <w:r>
        <w:rPr>
          <w:rFonts w:hint="eastAsia" w:ascii="仿宋" w:hAnsi="仿宋" w:eastAsia="仿宋" w:cs="宋体"/>
          <w:bCs/>
          <w:color w:val="auto"/>
          <w:sz w:val="24"/>
        </w:rPr>
        <w:t>、乙方应积极配合甲方对混凝土质量和供应量的抽查，出现争议时，乙方应及时派员进行协商处理。如因供应方原因造成甲方出现质量问题，供应方应该承担赔偿责任。</w:t>
      </w:r>
    </w:p>
    <w:p w14:paraId="20EF4D99">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10</w:t>
      </w:r>
      <w:r>
        <w:rPr>
          <w:rFonts w:hint="eastAsia" w:ascii="仿宋" w:hAnsi="仿宋" w:eastAsia="仿宋" w:cs="宋体"/>
          <w:bCs/>
          <w:color w:val="auto"/>
          <w:sz w:val="24"/>
        </w:rPr>
        <w:t>、如甲方有不按合同约定支付货款等违约行为，乙方应积极进行协商。在协商期间不能因故减少车辆供应或不提供混凝土；如协商未果，可在提前</w:t>
      </w:r>
      <w:r>
        <w:rPr>
          <w:rFonts w:ascii="仿宋" w:hAnsi="仿宋" w:eastAsia="仿宋" w:cs="宋体"/>
          <w:bCs/>
          <w:color w:val="auto"/>
          <w:sz w:val="24"/>
          <w:u w:val="single"/>
        </w:rPr>
        <w:t xml:space="preserve"> </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天书面通知甲方的情况下，停止向甲方供应混凝土。</w:t>
      </w:r>
    </w:p>
    <w:p w14:paraId="077967CA">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仿宋" w:hAnsi="仿宋" w:eastAsia="仿宋" w:cs="宋体"/>
          <w:bCs/>
          <w:color w:val="auto"/>
          <w:sz w:val="24"/>
        </w:rPr>
      </w:pPr>
      <w:r>
        <w:rPr>
          <w:rFonts w:ascii="仿宋" w:hAnsi="仿宋" w:eastAsia="仿宋" w:cs="宋体"/>
          <w:bCs/>
          <w:color w:val="auto"/>
          <w:sz w:val="24"/>
        </w:rPr>
        <w:t>11</w:t>
      </w:r>
      <w:r>
        <w:rPr>
          <w:rFonts w:hint="eastAsia" w:ascii="仿宋" w:hAnsi="仿宋" w:eastAsia="仿宋" w:cs="宋体"/>
          <w:bCs/>
          <w:color w:val="auto"/>
          <w:sz w:val="24"/>
        </w:rPr>
        <w:t>、乙方在每次浇筑砼超过</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方时，必须派技术人员到现场监督指导，对浇砼情况、塌落度、试件制作等进行检测、指导等，大体积混凝土或关键部位浇筑，公司副总及技术人员到现场指挥协调，确保供应。</w:t>
      </w:r>
    </w:p>
    <w:p w14:paraId="05855A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rPr>
      </w:pPr>
      <w:r>
        <w:rPr>
          <w:rFonts w:ascii="仿宋" w:hAnsi="仿宋" w:eastAsia="仿宋" w:cs="宋体"/>
          <w:bCs/>
          <w:color w:val="auto"/>
          <w:sz w:val="24"/>
        </w:rPr>
        <w:t>12</w:t>
      </w:r>
      <w:r>
        <w:rPr>
          <w:rFonts w:hint="eastAsia" w:ascii="仿宋" w:hAnsi="仿宋" w:eastAsia="仿宋" w:cs="宋体"/>
          <w:bCs/>
          <w:color w:val="auto"/>
          <w:sz w:val="24"/>
        </w:rPr>
        <w:t>、砼车到达工地现场后，甲方应按中华人民共和国颁发的现行《预拌混凝土》检验标准进行取样，甲方留取试件应按规范要求派持有上岗证的技术人员负责取样、制作（砼取样应在每车卸料</w:t>
      </w:r>
      <w:r>
        <w:rPr>
          <w:rFonts w:ascii="仿宋" w:hAnsi="仿宋" w:eastAsia="仿宋" w:cs="宋体"/>
          <w:bCs/>
          <w:color w:val="auto"/>
          <w:sz w:val="24"/>
        </w:rPr>
        <w:t>1/4</w:t>
      </w:r>
      <w:r>
        <w:rPr>
          <w:rFonts w:hint="eastAsia" w:ascii="仿宋" w:hAnsi="仿宋" w:eastAsia="仿宋" w:cs="宋体"/>
          <w:bCs/>
          <w:color w:val="auto"/>
          <w:sz w:val="24"/>
        </w:rPr>
        <w:t>～</w:t>
      </w:r>
      <w:r>
        <w:rPr>
          <w:rFonts w:ascii="仿宋" w:hAnsi="仿宋" w:eastAsia="仿宋" w:cs="宋体"/>
          <w:bCs/>
          <w:color w:val="auto"/>
          <w:sz w:val="24"/>
        </w:rPr>
        <w:t>3/4</w:t>
      </w:r>
      <w:r>
        <w:rPr>
          <w:rFonts w:hint="eastAsia" w:ascii="仿宋" w:hAnsi="仿宋" w:eastAsia="仿宋" w:cs="宋体"/>
          <w:bCs/>
          <w:color w:val="auto"/>
          <w:sz w:val="24"/>
        </w:rPr>
        <w:t>中间抽取）。送检的试块应送到当地有相关资</w:t>
      </w:r>
      <w:r>
        <w:rPr>
          <w:rFonts w:hint="eastAsia" w:ascii="仿宋" w:hAnsi="仿宋" w:eastAsia="仿宋" w:cs="仿宋"/>
          <w:bCs/>
          <w:color w:val="auto"/>
          <w:sz w:val="24"/>
        </w:rPr>
        <w:t>质的质检站进行检测，并按国家颁发的现行《混凝土强度检验评定标准》进行检验且检验合格，由此产生的检测费用由甲方承担，检验合格结果作为验收砼的质量依据。</w:t>
      </w:r>
    </w:p>
    <w:p w14:paraId="2E7123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rPr>
        <w:t>13、混凝土已报计划的情况下，混凝土浇筑当天，乙方的混凝土搅拌车应在甲方要求时间准时到场。乙方需根据现场施工实际情况及路途行车情况合理安排出车，如果拖延</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分钟后到场（含浇筑过程中的报料），甲方有权处以乙方</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元/车/次的罚款（不可抗力因素造成未能按时到达的除外。）。如由于乙方计划出车或路途堵车原因同时到场造成积压，责任由乙方负责。</w:t>
      </w:r>
    </w:p>
    <w:p w14:paraId="17F75ED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四、甲方责任</w:t>
      </w:r>
    </w:p>
    <w:p w14:paraId="7F7EDF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rPr>
        <w:t>1、甲方一般应在砼浇灌前12小时用电话或传真向乙方报送次日砼的《用料计划》（含混凝土数量、级别、塌落度、浇灌部位、要求到达时间、输送方式、质量要求等），具体要求到货时间以提前</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小时的通知（可为电话通知）为准。如有计划有变化，也应于计划到货时间前</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小时通知乙方。计划明确混凝土数量、级别、浇灌部位、要求到达时间等，以便乙方做好原材料的组织工作及供砼的准备工作。甲方每次报用混凝土计划前应准确计算所需砼量，因甲方计算误差造成乙方按计划送料超出实际需要时，甲方应确认乙方送的砼数量。因甲方迟报计划造成未能按甲方要求送料到工地由甲方负责。</w:t>
      </w:r>
    </w:p>
    <w:p w14:paraId="59EBCC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rPr>
        <w:t>2、甲方应在建筑工地为商品混凝土的运输、使用提供必备的条件，保证施工现场道路畅通，有必要的供水、照明等设施和停车场地，并安排专人在现场负责调度指挥，保证车辆和随车人员顺利进出工地。</w:t>
      </w:r>
    </w:p>
    <w:p w14:paraId="5BB27B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lang w:eastAsia="zh-CN"/>
        </w:rPr>
      </w:pPr>
      <w:r>
        <w:rPr>
          <w:rFonts w:hint="eastAsia" w:ascii="仿宋" w:hAnsi="仿宋" w:eastAsia="仿宋" w:cs="仿宋"/>
          <w:bCs/>
          <w:color w:val="auto"/>
          <w:sz w:val="24"/>
        </w:rPr>
        <w:t>3、每批次使用混凝土到达后需要在</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小时内办完验收手续并完成卸料，卸料时间超过</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小时/车，每车须加收</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rPr>
        <w:t>元燃油费</w:t>
      </w:r>
      <w:r>
        <w:rPr>
          <w:rFonts w:hint="eastAsia" w:ascii="仿宋" w:hAnsi="仿宋" w:eastAsia="仿宋" w:cs="仿宋"/>
          <w:bCs/>
          <w:color w:val="auto"/>
          <w:sz w:val="24"/>
          <w:lang w:eastAsia="zh-CN"/>
        </w:rPr>
        <w:t>。</w:t>
      </w:r>
    </w:p>
    <w:p w14:paraId="498C0A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rPr>
      </w:pPr>
      <w:r>
        <w:rPr>
          <w:rFonts w:hint="eastAsia" w:ascii="仿宋" w:hAnsi="仿宋" w:eastAsia="仿宋" w:cs="仿宋"/>
          <w:bCs/>
          <w:color w:val="auto"/>
          <w:sz w:val="24"/>
        </w:rPr>
        <w:t>4、甲方人员不得对砼加水或加入其它掺合料，因甲方人员随意对砼加水或加入其它掺合料且导致混凝土质量不合格，责任由甲方承担。</w:t>
      </w:r>
    </w:p>
    <w:p w14:paraId="2A443FE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5、甲方指定收货人：</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，身份证号：</w:t>
      </w:r>
      <w:r>
        <w:rPr>
          <w:rFonts w:hint="eastAsia" w:ascii="仿宋" w:hAnsi="仿宋" w:eastAsia="仿宋" w:cs="仿宋"/>
          <w:color w:val="auto"/>
          <w:kern w:val="2"/>
          <w:sz w:val="24"/>
          <w:szCs w:val="24"/>
          <w:highlight w:val="none"/>
          <w:u w:val="single"/>
          <w:lang w:val="en-US" w:eastAsia="zh-CN" w:bidi="ar-SA"/>
        </w:rPr>
        <w:t xml:space="preserve">    </w:t>
      </w:r>
      <w:r>
        <w:rPr>
          <w:rFonts w:hint="eastAsia" w:ascii="仿宋" w:hAnsi="仿宋" w:eastAsia="仿宋" w:cs="仿宋"/>
          <w:color w:val="auto"/>
          <w:kern w:val="2"/>
          <w:sz w:val="24"/>
          <w:szCs w:val="24"/>
          <w:highlight w:val="none"/>
          <w:lang w:val="en-US" w:eastAsia="zh-CN" w:bidi="ar-SA"/>
        </w:rPr>
        <w:t>，</w:t>
      </w:r>
      <w:r>
        <w:rPr>
          <w:rFonts w:hint="eastAsia" w:ascii="仿宋" w:hAnsi="仿宋" w:eastAsia="仿宋" w:cs="仿宋"/>
          <w:color w:val="auto"/>
          <w:kern w:val="2"/>
          <w:sz w:val="24"/>
          <w:szCs w:val="24"/>
          <w:lang w:val="en-US" w:eastAsia="zh-CN" w:bidi="ar-SA"/>
        </w:rPr>
        <w:t>联系电话：</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；甲方收货联系人仅有权对乙方送货单中的数量予以确认，无权对货物价款以及最终结算单进行确认。</w:t>
      </w:r>
    </w:p>
    <w:p w14:paraId="1D3885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rPr>
      </w:pPr>
      <w:r>
        <w:rPr>
          <w:rFonts w:hint="eastAsia" w:ascii="仿宋" w:hAnsi="仿宋" w:eastAsia="仿宋" w:cs="仿宋"/>
          <w:b/>
          <w:color w:val="auto"/>
          <w:sz w:val="24"/>
        </w:rPr>
        <w:t>五、混凝土量验收办法</w:t>
      </w:r>
    </w:p>
    <w:p w14:paraId="2102CC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宋体"/>
          <w:bCs/>
          <w:color w:val="auto"/>
          <w:sz w:val="24"/>
        </w:rPr>
      </w:pPr>
      <w:r>
        <w:rPr>
          <w:rFonts w:hint="eastAsia" w:ascii="仿宋" w:hAnsi="仿宋" w:eastAsia="仿宋" w:cs="仿宋"/>
          <w:bCs/>
          <w:color w:val="auto"/>
          <w:sz w:val="24"/>
        </w:rPr>
        <w:t>1、甲方指定专人签收砼送货单、核对及确认每月混凝土结算表。供货数量以每</w:t>
      </w:r>
      <w:r>
        <w:rPr>
          <w:rFonts w:hint="eastAsia" w:ascii="仿宋" w:hAnsi="仿宋" w:eastAsia="仿宋" w:cs="宋体"/>
          <w:bCs/>
          <w:color w:val="auto"/>
          <w:sz w:val="24"/>
        </w:rPr>
        <w:t>车次送货单及每月确认的砼结算表为准。如甲方对乙方所提供的混凝土数量有疑问时，甲方采用过磅形式随机抽验乙方所供砼量（即以砼运输车的实际装砼重量除以砼配合比中确定的砼容重作为该车所载方量），经三次以上抽检平均值为抽验结果，误差为正差的视作乙方优惠而不作调整数量；为负差且超过</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％的，则当日批次所有砼数量按本次抽验相差百分比减扣调整供应数量。（负差即为抽验过磅装载量小于送货单确定量，反之为正差）。</w:t>
      </w:r>
    </w:p>
    <w:p w14:paraId="4E038DCC">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、甲方每次浇捣的砼尾数只能有一车不足</w:t>
      </w:r>
      <w:r>
        <w:rPr>
          <w:rFonts w:hint="eastAsia" w:ascii="仿宋" w:hAnsi="仿宋" w:eastAsia="仿宋" w:cs="宋体"/>
          <w:bCs/>
          <w:color w:val="auto"/>
          <w:sz w:val="24"/>
          <w:u w:val="single"/>
          <w:lang w:val="en-US" w:eastAsia="zh-CN"/>
        </w:rPr>
        <w:t xml:space="preserve">   </w:t>
      </w:r>
      <w:r>
        <w:rPr>
          <w:rFonts w:ascii="仿宋" w:hAnsi="仿宋" w:eastAsia="仿宋" w:cs="宋体"/>
          <w:bCs/>
          <w:color w:val="auto"/>
          <w:sz w:val="24"/>
        </w:rPr>
        <w:t>m</w:t>
      </w:r>
      <w:r>
        <w:rPr>
          <w:rFonts w:ascii="仿宋" w:hAnsi="仿宋" w:eastAsia="仿宋" w:cs="宋体"/>
          <w:bCs/>
          <w:color w:val="auto"/>
          <w:sz w:val="24"/>
          <w:vertAlign w:val="superscript"/>
        </w:rPr>
        <w:t>3</w:t>
      </w:r>
      <w:r>
        <w:rPr>
          <w:rFonts w:hint="eastAsia" w:ascii="仿宋" w:hAnsi="仿宋" w:eastAsia="仿宋" w:cs="宋体"/>
          <w:bCs/>
          <w:color w:val="auto"/>
          <w:sz w:val="24"/>
        </w:rPr>
        <w:t>，超过一车以上，乙方每车另向甲方收取</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元运费。二次结构时可有两车补料免费。</w:t>
      </w:r>
    </w:p>
    <w:p w14:paraId="0E9FB499">
      <w:pPr>
        <w:spacing w:line="360" w:lineRule="auto"/>
        <w:ind w:firstLine="482" w:firstLineChars="200"/>
        <w:rPr>
          <w:rFonts w:hint="eastAsia" w:ascii="仿宋" w:hAnsi="仿宋" w:eastAsia="仿宋" w:cs="宋体"/>
          <w:b/>
          <w:color w:val="auto"/>
          <w:sz w:val="24"/>
        </w:rPr>
      </w:pPr>
      <w:r>
        <w:rPr>
          <w:rFonts w:hint="eastAsia" w:ascii="仿宋" w:hAnsi="仿宋" w:eastAsia="仿宋" w:cs="宋体"/>
          <w:b/>
          <w:color w:val="auto"/>
          <w:sz w:val="24"/>
        </w:rPr>
        <w:t>六、商品混凝土质量标准及资料要求</w:t>
      </w:r>
    </w:p>
    <w:p w14:paraId="7FEA6D4C">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、质量标准和技术要求：乙方提供的混凝土及使用之原材料，其质量应符合国家标准</w:t>
      </w:r>
      <w:r>
        <w:rPr>
          <w:rFonts w:ascii="仿宋" w:hAnsi="仿宋" w:eastAsia="仿宋" w:cs="宋体"/>
          <w:bCs/>
          <w:color w:val="auto"/>
          <w:sz w:val="24"/>
        </w:rPr>
        <w:t>GB/T14902-2012</w:t>
      </w:r>
      <w:r>
        <w:rPr>
          <w:rFonts w:hint="eastAsia" w:ascii="仿宋" w:hAnsi="仿宋" w:eastAsia="仿宋" w:cs="宋体"/>
          <w:bCs/>
          <w:color w:val="auto"/>
          <w:sz w:val="24"/>
        </w:rPr>
        <w:t>《预拌混凝土》及其所引用的相关技术标准。乙方应随车附送商品混凝土的发货单及按批次提供货物配料通知单，</w:t>
      </w:r>
      <w:r>
        <w:rPr>
          <w:rFonts w:ascii="仿宋" w:hAnsi="仿宋" w:eastAsia="仿宋" w:cs="宋体"/>
          <w:bCs/>
          <w:color w:val="auto"/>
          <w:sz w:val="24"/>
        </w:rPr>
        <w:t>28</w:t>
      </w:r>
      <w:r>
        <w:rPr>
          <w:rFonts w:hint="eastAsia" w:ascii="仿宋" w:hAnsi="仿宋" w:eastAsia="仿宋" w:cs="宋体"/>
          <w:bCs/>
          <w:color w:val="auto"/>
          <w:sz w:val="24"/>
        </w:rPr>
        <w:t>天强度报告在货物到货后</w:t>
      </w:r>
      <w:r>
        <w:rPr>
          <w:rFonts w:ascii="仿宋" w:hAnsi="仿宋" w:eastAsia="仿宋" w:cs="宋体"/>
          <w:bCs/>
          <w:color w:val="auto"/>
          <w:sz w:val="24"/>
        </w:rPr>
        <w:t>30</w:t>
      </w:r>
      <w:r>
        <w:rPr>
          <w:rFonts w:hint="eastAsia" w:ascii="仿宋" w:hAnsi="仿宋" w:eastAsia="仿宋" w:cs="宋体"/>
          <w:bCs/>
          <w:color w:val="auto"/>
          <w:sz w:val="24"/>
        </w:rPr>
        <w:t>天内补交给甲方。</w:t>
      </w:r>
    </w:p>
    <w:p w14:paraId="5F0D53D4">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、检验：由现场施工单位和驻地监理，按国家标准</w:t>
      </w:r>
      <w:r>
        <w:rPr>
          <w:rFonts w:ascii="仿宋" w:hAnsi="仿宋" w:eastAsia="仿宋" w:cs="宋体"/>
          <w:bCs/>
          <w:color w:val="auto"/>
          <w:sz w:val="24"/>
        </w:rPr>
        <w:t>GB50204-2015</w:t>
      </w:r>
      <w:r>
        <w:rPr>
          <w:rFonts w:hint="eastAsia" w:ascii="仿宋" w:hAnsi="仿宋" w:eastAsia="仿宋" w:cs="宋体"/>
          <w:bCs/>
          <w:color w:val="auto"/>
          <w:sz w:val="24"/>
        </w:rPr>
        <w:t>《混凝土结构工程施工及验收规范》进行现场初验。现场初验主要指混凝土的塌落度、入模温度及外观等检测。初验不符合要求的，且乙方现场调整无效，甲方有权利要求退货。</w:t>
      </w:r>
    </w:p>
    <w:p w14:paraId="1B73E35E">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商品混凝土运抵施工现场时，在乙方见证下，由甲方持有相应的技术人员按现行规范要求现场制作、养护试块，并负责送有资质的工程检测机构进行检测及承担相关费用，检测结果作为混凝土强度等级评定依据。</w:t>
      </w:r>
    </w:p>
    <w:p w14:paraId="62EC6E06">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4</w:t>
      </w:r>
      <w:r>
        <w:rPr>
          <w:rFonts w:hint="eastAsia" w:ascii="仿宋" w:hAnsi="仿宋" w:eastAsia="仿宋" w:cs="宋体"/>
          <w:bCs/>
          <w:color w:val="auto"/>
          <w:sz w:val="24"/>
        </w:rPr>
        <w:t>、每批随车资料，包括但不仅限于：外加剂物理性能检验报告及产品质量证明文件、混凝土配合比设计报告、商品混凝土产品质量证明、混凝土搅拌质量记录、混凝土生产信息登记回执等。</w:t>
      </w:r>
    </w:p>
    <w:p w14:paraId="3C4C8C83">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5</w:t>
      </w:r>
      <w:r>
        <w:rPr>
          <w:rFonts w:hint="eastAsia" w:ascii="仿宋" w:hAnsi="仿宋" w:eastAsia="仿宋" w:cs="宋体"/>
          <w:bCs/>
          <w:color w:val="auto"/>
          <w:sz w:val="24"/>
        </w:rPr>
        <w:t>、结算款项前，乙方须交接好所有验收资料</w:t>
      </w:r>
      <w:r>
        <w:rPr>
          <w:rFonts w:ascii="仿宋" w:hAnsi="仿宋" w:eastAsia="仿宋" w:cs="宋体"/>
          <w:bCs/>
          <w:color w:val="auto"/>
          <w:sz w:val="24"/>
        </w:rPr>
        <w:t>,</w:t>
      </w:r>
      <w:r>
        <w:rPr>
          <w:rFonts w:hint="eastAsia" w:ascii="仿宋" w:hAnsi="仿宋" w:eastAsia="仿宋" w:cs="宋体"/>
          <w:bCs/>
          <w:color w:val="auto"/>
          <w:sz w:val="24"/>
        </w:rPr>
        <w:t>包括但不仅限于：混凝土试块试验结果汇总表、混凝土抗压强度计算表、混凝土抗压强度检验报告、混凝土抗渗等级检验表等。</w:t>
      </w:r>
    </w:p>
    <w:p w14:paraId="60D2CCAA">
      <w:pPr>
        <w:spacing w:line="360" w:lineRule="auto"/>
        <w:ind w:firstLine="482" w:firstLineChars="200"/>
        <w:rPr>
          <w:rFonts w:hint="eastAsia" w:ascii="仿宋" w:hAnsi="仿宋" w:eastAsia="仿宋" w:cs="宋体"/>
          <w:b/>
          <w:color w:val="auto"/>
          <w:sz w:val="24"/>
        </w:rPr>
      </w:pPr>
      <w:r>
        <w:rPr>
          <w:rFonts w:hint="eastAsia" w:ascii="仿宋" w:hAnsi="仿宋" w:eastAsia="仿宋" w:cs="宋体"/>
          <w:b/>
          <w:color w:val="auto"/>
          <w:sz w:val="24"/>
        </w:rPr>
        <w:t>七、结算、付款、调价、发票约定</w:t>
      </w:r>
    </w:p>
    <w:p w14:paraId="11E3EB4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仿宋" w:hAnsi="仿宋" w:eastAsia="仿宋" w:cs="Times New Roman"/>
          <w:color w:val="auto"/>
          <w:sz w:val="24"/>
          <w:u w:val="single"/>
        </w:rPr>
      </w:pPr>
      <w:r>
        <w:rPr>
          <w:rFonts w:hint="eastAsia" w:ascii="仿宋" w:hAnsi="仿宋" w:eastAsia="仿宋" w:cs="Times New Roman"/>
          <w:color w:val="auto"/>
          <w:sz w:val="24"/>
          <w:lang w:val="en-US" w:eastAsia="zh-CN"/>
        </w:rPr>
        <w:t>1、</w:t>
      </w:r>
      <w:r>
        <w:rPr>
          <w:rFonts w:hint="eastAsia" w:ascii="仿宋" w:hAnsi="仿宋" w:eastAsia="仿宋" w:cs="Times New Roman"/>
          <w:color w:val="auto"/>
          <w:sz w:val="24"/>
        </w:rPr>
        <w:t>本合同材料预付款金额：</w:t>
      </w:r>
      <w:r>
        <w:rPr>
          <w:rFonts w:hint="eastAsia" w:ascii="仿宋" w:hAnsi="仿宋" w:eastAsia="仿宋" w:cs="Times New Roman"/>
          <w:color w:val="auto"/>
          <w:sz w:val="24"/>
          <w:u w:val="single"/>
        </w:rPr>
        <w:t>为签约合同价</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%(即大写：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，小写￥：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元)。</w:t>
      </w:r>
    </w:p>
    <w:p w14:paraId="74AA286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ascii="仿宋" w:hAnsi="仿宋" w:eastAsia="仿宋" w:cs="Times New Roman"/>
          <w:color w:val="auto"/>
          <w:sz w:val="24"/>
        </w:rPr>
      </w:pPr>
      <w:r>
        <w:rPr>
          <w:rFonts w:hint="eastAsia" w:ascii="仿宋" w:hAnsi="仿宋" w:eastAsia="仿宋" w:cs="Times New Roman"/>
          <w:color w:val="auto"/>
          <w:sz w:val="24"/>
          <w:lang w:val="en-US" w:eastAsia="zh-CN"/>
        </w:rPr>
        <w:t>2、</w:t>
      </w:r>
      <w:r>
        <w:rPr>
          <w:rFonts w:hint="eastAsia" w:ascii="仿宋" w:hAnsi="仿宋" w:eastAsia="仿宋" w:cs="Times New Roman"/>
          <w:color w:val="auto"/>
          <w:sz w:val="24"/>
        </w:rPr>
        <w:t>预付款扣回：</w:t>
      </w:r>
      <w:r>
        <w:rPr>
          <w:rFonts w:hint="eastAsia" w:ascii="仿宋" w:hAnsi="仿宋" w:eastAsia="仿宋" w:cs="Times New Roman"/>
          <w:color w:val="auto"/>
          <w:sz w:val="24"/>
          <w:u w:val="single"/>
        </w:rPr>
        <w:t>混凝土供货累计金额未达到合同价格的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%之前不予扣回。在达到合同价格</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%之后，开始逐月全额扣回，直至全部预付款金额扣完（即供货达合同价格</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%，需将预付款全部扣回），方可进行混凝土货款的支付。</w:t>
      </w:r>
    </w:p>
    <w:p w14:paraId="2089D060">
      <w:pPr>
        <w:spacing w:line="360" w:lineRule="auto"/>
        <w:ind w:firstLine="480" w:firstLineChars="200"/>
        <w:rPr>
          <w:rFonts w:hint="eastAsia" w:ascii="仿宋" w:hAnsi="仿宋" w:eastAsia="仿宋" w:cs="Times New Roman"/>
          <w:color w:val="auto"/>
          <w:sz w:val="24"/>
        </w:rPr>
      </w:pPr>
      <w:r>
        <w:rPr>
          <w:rFonts w:hint="eastAsia" w:ascii="仿宋" w:hAnsi="仿宋" w:eastAsia="仿宋" w:cs="宋体"/>
          <w:bCs/>
          <w:color w:val="auto"/>
          <w:sz w:val="24"/>
          <w:lang w:val="en-US" w:eastAsia="zh-CN"/>
        </w:rPr>
        <w:t>3</w:t>
      </w:r>
      <w:r>
        <w:rPr>
          <w:rFonts w:hint="eastAsia" w:ascii="仿宋" w:hAnsi="仿宋" w:eastAsia="仿宋" w:cs="宋体"/>
          <w:bCs/>
          <w:color w:val="auto"/>
          <w:sz w:val="24"/>
        </w:rPr>
        <w:t>、</w:t>
      </w:r>
      <w:r>
        <w:rPr>
          <w:rFonts w:hint="eastAsia" w:ascii="仿宋" w:hAnsi="仿宋" w:eastAsia="仿宋" w:cs="Times New Roman"/>
          <w:color w:val="auto"/>
          <w:sz w:val="24"/>
        </w:rPr>
        <w:t>结算方式：每月结算前，甲乙双方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13979B2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原则上每月</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日前甲方支付上月供应的混凝土货款。每月</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日前并自乙方发出混凝土结算表五日内，甲方对混凝土结算表中所载数量及金额进行确认，并将其中两份原件交还乙方。若对混凝土结算表中的数量、金额存在争议，甲方应在乙方发出混凝土结算表五日内以书面形式提出，否则视作认可，对有争议部分，双方本着实事求是的原则协商解决，但不影响无争议的结算确认及款项支付。</w:t>
      </w:r>
    </w:p>
    <w:p w14:paraId="3EE98CE7">
      <w:pPr>
        <w:spacing w:line="360" w:lineRule="auto"/>
        <w:ind w:firstLine="480" w:firstLineChars="200"/>
        <w:rPr>
          <w:rFonts w:hint="eastAsia" w:ascii="仿宋" w:hAnsi="仿宋" w:eastAsia="仿宋" w:cs="Times New Roman"/>
          <w:color w:val="auto"/>
          <w:sz w:val="24"/>
        </w:rPr>
      </w:pPr>
      <w:r>
        <w:rPr>
          <w:rFonts w:hint="eastAsia" w:ascii="仿宋" w:hAnsi="仿宋" w:eastAsia="仿宋" w:cs="宋体"/>
          <w:bCs/>
          <w:color w:val="auto"/>
          <w:sz w:val="24"/>
          <w:lang w:val="en-US" w:eastAsia="zh-CN"/>
        </w:rPr>
        <w:t>4</w:t>
      </w:r>
      <w:r>
        <w:rPr>
          <w:rFonts w:hint="eastAsia" w:ascii="仿宋" w:hAnsi="仿宋" w:eastAsia="仿宋" w:cs="宋体"/>
          <w:bCs/>
          <w:color w:val="auto"/>
          <w:sz w:val="24"/>
        </w:rPr>
        <w:t>、</w:t>
      </w:r>
      <w:r>
        <w:rPr>
          <w:rFonts w:hint="eastAsia" w:ascii="仿宋" w:hAnsi="仿宋" w:eastAsia="仿宋" w:cs="Times New Roman"/>
          <w:color w:val="auto"/>
          <w:sz w:val="24"/>
        </w:rPr>
        <w:t>款项支付：</w:t>
      </w:r>
    </w:p>
    <w:p w14:paraId="2FCBB136">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1</w:t>
      </w:r>
      <w:r>
        <w:rPr>
          <w:rFonts w:hint="eastAsia" w:ascii="仿宋" w:hAnsi="仿宋" w:eastAsia="仿宋" w:cs="Times New Roman"/>
          <w:color w:val="auto"/>
          <w:sz w:val="24"/>
        </w:rPr>
        <w:t>）无论本合同其他条款约定的甲方向乙方支付货款的期限是否届满，甲方在收到业主支付的备料款（或工程款）前无义务向乙方垫付相应部分货款；</w:t>
      </w:r>
    </w:p>
    <w:p w14:paraId="7FC25ACE">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）甲乙双方应及时对每期计量结算进行确认，甲方无义务向乙方垫付或预付双方已确认结算量之外的货款；</w:t>
      </w:r>
    </w:p>
    <w:p w14:paraId="310120BF">
      <w:pPr>
        <w:spacing w:line="360" w:lineRule="auto"/>
        <w:ind w:firstLine="480" w:firstLineChars="200"/>
        <w:rPr>
          <w:rFonts w:hint="eastAsia" w:ascii="仿宋" w:hAnsi="仿宋" w:eastAsia="仿宋" w:cs="Times New Roman"/>
          <w:color w:val="auto"/>
          <w:sz w:val="24"/>
          <w:u w:val="wave"/>
        </w:rPr>
      </w:pP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）本合同涉及的所有计量支付均由甲方支付到乙方在合同约定的银行账户，无特殊情况下，甲方不接受乙方提供的任何第三方收款银行账户或委托收款；</w:t>
      </w:r>
    </w:p>
    <w:p w14:paraId="1A7592FD">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lang w:val="en-US" w:eastAsia="zh-CN"/>
        </w:rPr>
        <w:t>5</w:t>
      </w:r>
      <w:r>
        <w:rPr>
          <w:rFonts w:hint="eastAsia" w:ascii="仿宋" w:hAnsi="仿宋" w:eastAsia="仿宋" w:cs="Times New Roman"/>
          <w:color w:val="auto"/>
          <w:sz w:val="24"/>
        </w:rPr>
        <w:t>、款项支付比例：</w:t>
      </w:r>
    </w:p>
    <w:p w14:paraId="4E704A15">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每期结算支付的材料款的比例为</w:t>
      </w:r>
      <w:r>
        <w:rPr>
          <w:rFonts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ascii="仿宋" w:hAnsi="仿宋" w:eastAsia="仿宋" w:cs="Times New Roman"/>
          <w:color w:val="auto"/>
          <w:sz w:val="24"/>
          <w:u w:val="single"/>
        </w:rPr>
        <w:t xml:space="preserve"> </w:t>
      </w:r>
      <w:r>
        <w:rPr>
          <w:rFonts w:ascii="仿宋" w:hAnsi="仿宋" w:eastAsia="仿宋" w:cs="Times New Roman"/>
          <w:color w:val="auto"/>
          <w:sz w:val="24"/>
        </w:rPr>
        <w:t>%</w:t>
      </w:r>
      <w:r>
        <w:rPr>
          <w:rFonts w:hint="eastAsia" w:ascii="仿宋" w:hAnsi="仿宋" w:eastAsia="仿宋" w:cs="Times New Roman"/>
          <w:color w:val="auto"/>
          <w:sz w:val="24"/>
        </w:rPr>
        <w:t>，即甲方在双方办理当期结算并签订结算书后支付当期材料款项的</w:t>
      </w:r>
      <w:r>
        <w:rPr>
          <w:rFonts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ascii="仿宋" w:hAnsi="仿宋" w:eastAsia="仿宋" w:cs="Times New Roman"/>
          <w:color w:val="auto"/>
          <w:sz w:val="24"/>
          <w:u w:val="single"/>
        </w:rPr>
        <w:t xml:space="preserve"> </w:t>
      </w:r>
      <w:r>
        <w:rPr>
          <w:rFonts w:ascii="仿宋" w:hAnsi="仿宋" w:eastAsia="仿宋" w:cs="Times New Roman"/>
          <w:color w:val="auto"/>
          <w:sz w:val="24"/>
        </w:rPr>
        <w:t>%</w:t>
      </w:r>
      <w:r>
        <w:rPr>
          <w:rFonts w:hint="eastAsia" w:ascii="仿宋" w:hAnsi="仿宋" w:eastAsia="仿宋" w:cs="Times New Roman"/>
          <w:color w:val="auto"/>
          <w:sz w:val="24"/>
        </w:rPr>
        <w:t>。在甲方工程项目竣工验收后三个月内且甲乙双方办理最终结算后（以时间后者为准）支付剩余材料款项至乙方。</w:t>
      </w:r>
    </w:p>
    <w:p w14:paraId="0F7C5AB3">
      <w:pPr>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在竣工验收前因乙方原因而需对工程进行修复所发生的费用及违约金、处罚等，甲方有权在应付款项中做相应扣款，如仍不能弥补甲方损失的，甲方可对乙方进行追偿。</w:t>
      </w:r>
    </w:p>
    <w:p w14:paraId="41A83E47">
      <w:pPr>
        <w:spacing w:line="360" w:lineRule="auto"/>
        <w:ind w:firstLine="480" w:firstLineChars="200"/>
        <w:rPr>
          <w:rFonts w:hint="eastAsia" w:ascii="仿宋" w:hAnsi="仿宋" w:eastAsia="仿宋" w:cs="宋体"/>
          <w:bCs/>
          <w:color w:val="auto"/>
          <w:sz w:val="24"/>
        </w:rPr>
      </w:pPr>
      <w:r>
        <w:rPr>
          <w:rFonts w:hint="eastAsia" w:ascii="仿宋" w:hAnsi="仿宋" w:eastAsia="仿宋" w:cs="Times New Roman"/>
          <w:color w:val="auto"/>
          <w:sz w:val="24"/>
          <w:lang w:val="en-US" w:eastAsia="zh-CN"/>
        </w:rPr>
        <w:t>6</w:t>
      </w:r>
      <w:r>
        <w:rPr>
          <w:rFonts w:hint="eastAsia" w:ascii="仿宋" w:hAnsi="仿宋" w:eastAsia="仿宋" w:cs="Times New Roman"/>
          <w:color w:val="auto"/>
          <w:sz w:val="24"/>
        </w:rPr>
        <w:t>、乙方至少应有</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none"/>
        </w:rPr>
        <w:t>万</w:t>
      </w:r>
      <w:r>
        <w:rPr>
          <w:rFonts w:hint="eastAsia" w:ascii="仿宋" w:hAnsi="仿宋" w:eastAsia="仿宋" w:cs="Times New Roman"/>
          <w:color w:val="auto"/>
          <w:sz w:val="24"/>
        </w:rPr>
        <w:t>元以上的垫付能力，以确保甲方资金周转困难时，乙方能保证商品混凝土的正常供应；</w:t>
      </w:r>
    </w:p>
    <w:p w14:paraId="5EC796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rPr>
      </w:pPr>
      <w:r>
        <w:rPr>
          <w:rFonts w:hint="eastAsia" w:ascii="仿宋" w:hAnsi="仿宋" w:eastAsia="仿宋" w:cs="宋体"/>
          <w:bCs/>
          <w:color w:val="auto"/>
          <w:sz w:val="24"/>
          <w:lang w:val="en-US" w:eastAsia="zh-CN"/>
        </w:rPr>
        <w:t>7</w:t>
      </w:r>
      <w:r>
        <w:rPr>
          <w:rFonts w:hint="eastAsia" w:ascii="仿宋" w:hAnsi="仿宋" w:eastAsia="仿宋" w:cs="宋体"/>
          <w:bCs/>
          <w:color w:val="auto"/>
          <w:sz w:val="24"/>
        </w:rPr>
        <w:t>、合同混凝土价格随供料期间《当地工程造价信息》发布的混凝土信息价变化而调整，调整原则：</w:t>
      </w:r>
    </w:p>
    <w:p w14:paraId="2CFD6BB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1</w:t>
      </w:r>
      <w:r>
        <w:rPr>
          <w:rFonts w:hint="eastAsia" w:ascii="仿宋" w:hAnsi="仿宋" w:eastAsia="仿宋" w:cs="宋体"/>
          <w:bCs/>
          <w:color w:val="auto"/>
          <w:sz w:val="24"/>
        </w:rPr>
        <w:t>）当供料期间信息价上涨或下落幅度未超过合同签订期间信息价的</w:t>
      </w:r>
      <w:r>
        <w:rPr>
          <w:rFonts w:ascii="仿宋" w:hAnsi="仿宋" w:eastAsia="仿宋" w:cs="宋体"/>
          <w:bCs/>
          <w:color w:val="auto"/>
          <w:sz w:val="24"/>
        </w:rPr>
        <w:t>5%</w:t>
      </w:r>
      <w:r>
        <w:rPr>
          <w:rFonts w:hint="eastAsia" w:ascii="仿宋" w:hAnsi="仿宋" w:eastAsia="仿宋" w:cs="宋体"/>
          <w:bCs/>
          <w:color w:val="auto"/>
          <w:sz w:val="24"/>
        </w:rPr>
        <w:t>（含</w:t>
      </w:r>
      <w:r>
        <w:rPr>
          <w:rFonts w:ascii="仿宋" w:hAnsi="仿宋" w:eastAsia="仿宋" w:cs="宋体"/>
          <w:bCs/>
          <w:color w:val="auto"/>
          <w:sz w:val="24"/>
        </w:rPr>
        <w:t>5%</w:t>
      </w:r>
      <w:r>
        <w:rPr>
          <w:rFonts w:hint="eastAsia" w:ascii="仿宋" w:hAnsi="仿宋" w:eastAsia="仿宋" w:cs="宋体"/>
          <w:bCs/>
          <w:color w:val="auto"/>
          <w:sz w:val="24"/>
        </w:rPr>
        <w:t>）时，合同混凝土价格不予调整；</w:t>
      </w:r>
    </w:p>
    <w:p w14:paraId="564D98C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2</w:t>
      </w:r>
      <w:r>
        <w:rPr>
          <w:rFonts w:hint="eastAsia" w:ascii="仿宋" w:hAnsi="仿宋" w:eastAsia="仿宋" w:cs="宋体"/>
          <w:bCs/>
          <w:color w:val="auto"/>
          <w:sz w:val="24"/>
        </w:rPr>
        <w:t>）当供料期间信息价上涨或下落幅度超过合同签订期间信息价的</w:t>
      </w:r>
      <w:r>
        <w:rPr>
          <w:rFonts w:ascii="仿宋" w:hAnsi="仿宋" w:eastAsia="仿宋" w:cs="宋体"/>
          <w:bCs/>
          <w:color w:val="auto"/>
          <w:sz w:val="24"/>
        </w:rPr>
        <w:t>5%</w:t>
      </w:r>
      <w:r>
        <w:rPr>
          <w:rFonts w:hint="eastAsia" w:ascii="仿宋" w:hAnsi="仿宋" w:eastAsia="仿宋" w:cs="宋体"/>
          <w:bCs/>
          <w:color w:val="auto"/>
          <w:sz w:val="24"/>
        </w:rPr>
        <w:t>时，对超过部分价格进行调差，调差公式：</w:t>
      </w:r>
    </w:p>
    <w:p w14:paraId="707DB8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lang w:eastAsia="zh-CN"/>
        </w:rPr>
      </w:pPr>
      <w:r>
        <w:rPr>
          <w:rFonts w:ascii="仿宋" w:hAnsi="仿宋" w:eastAsia="仿宋" w:cs="宋体"/>
          <w:bCs/>
          <w:color w:val="auto"/>
          <w:sz w:val="24"/>
        </w:rPr>
        <w:t>1</w:t>
      </w:r>
      <w:r>
        <w:rPr>
          <w:rFonts w:hint="eastAsia" w:ascii="仿宋" w:hAnsi="仿宋" w:eastAsia="仿宋" w:cs="宋体"/>
          <w:bCs/>
          <w:color w:val="auto"/>
          <w:sz w:val="24"/>
        </w:rPr>
        <w:t>）当信息价上涨幅度超过合同签订期间信息价的</w:t>
      </w:r>
      <w:r>
        <w:rPr>
          <w:rFonts w:ascii="仿宋" w:hAnsi="仿宋" w:eastAsia="仿宋" w:cs="宋体"/>
          <w:bCs/>
          <w:color w:val="auto"/>
          <w:sz w:val="24"/>
        </w:rPr>
        <w:t>5%</w:t>
      </w:r>
      <w:r>
        <w:rPr>
          <w:rFonts w:hint="eastAsia" w:ascii="仿宋" w:hAnsi="仿宋" w:eastAsia="仿宋" w:cs="宋体"/>
          <w:bCs/>
          <w:color w:val="auto"/>
          <w:sz w:val="24"/>
        </w:rPr>
        <w:t>，即△</w:t>
      </w:r>
      <w:r>
        <w:rPr>
          <w:rFonts w:ascii="仿宋" w:hAnsi="仿宋" w:eastAsia="仿宋" w:cs="宋体"/>
          <w:bCs/>
          <w:color w:val="auto"/>
          <w:sz w:val="24"/>
        </w:rPr>
        <w:t>S&gt;5%</w:t>
      </w:r>
      <w:r>
        <w:rPr>
          <w:rFonts w:hint="eastAsia" w:ascii="仿宋" w:hAnsi="仿宋" w:eastAsia="仿宋" w:cs="宋体"/>
          <w:bCs/>
          <w:color w:val="auto"/>
          <w:sz w:val="24"/>
        </w:rPr>
        <w:t>时：</w:t>
      </w:r>
      <w:r>
        <w:rPr>
          <w:rFonts w:ascii="仿宋" w:hAnsi="仿宋" w:eastAsia="仿宋" w:cs="宋体"/>
          <w:bCs/>
          <w:color w:val="auto"/>
          <w:sz w:val="24"/>
        </w:rPr>
        <w:t>Pn=(1+</w:t>
      </w:r>
      <w:r>
        <w:rPr>
          <w:rFonts w:hint="eastAsia" w:ascii="仿宋" w:hAnsi="仿宋" w:eastAsia="仿宋" w:cs="宋体"/>
          <w:bCs/>
          <w:color w:val="auto"/>
          <w:sz w:val="24"/>
        </w:rPr>
        <w:t>△</w:t>
      </w:r>
      <w:r>
        <w:rPr>
          <w:rFonts w:ascii="仿宋" w:hAnsi="仿宋" w:eastAsia="仿宋" w:cs="宋体"/>
          <w:bCs/>
          <w:color w:val="auto"/>
          <w:sz w:val="24"/>
        </w:rPr>
        <w:t>S-5%)*Po</w:t>
      </w:r>
      <w:r>
        <w:rPr>
          <w:rFonts w:hint="eastAsia" w:ascii="仿宋" w:hAnsi="仿宋" w:eastAsia="仿宋" w:cs="宋体"/>
          <w:bCs/>
          <w:color w:val="auto"/>
          <w:sz w:val="24"/>
          <w:lang w:eastAsia="zh-CN"/>
        </w:rPr>
        <w:t>。</w:t>
      </w:r>
    </w:p>
    <w:p w14:paraId="07E559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lang w:eastAsia="zh-CN"/>
        </w:rPr>
      </w:pPr>
      <w:r>
        <w:rPr>
          <w:rFonts w:ascii="仿宋" w:hAnsi="仿宋" w:eastAsia="仿宋" w:cs="宋体"/>
          <w:bCs/>
          <w:color w:val="auto"/>
          <w:sz w:val="24"/>
        </w:rPr>
        <w:t>2</w:t>
      </w:r>
      <w:r>
        <w:rPr>
          <w:rFonts w:hint="eastAsia" w:ascii="仿宋" w:hAnsi="仿宋" w:eastAsia="仿宋" w:cs="宋体"/>
          <w:bCs/>
          <w:color w:val="auto"/>
          <w:sz w:val="24"/>
        </w:rPr>
        <w:t>）当信息价下落幅度超过合同签订期间信息价的</w:t>
      </w:r>
      <w:r>
        <w:rPr>
          <w:rFonts w:ascii="仿宋" w:hAnsi="仿宋" w:eastAsia="仿宋" w:cs="宋体"/>
          <w:bCs/>
          <w:color w:val="auto"/>
          <w:sz w:val="24"/>
        </w:rPr>
        <w:t>5%,</w:t>
      </w:r>
      <w:r>
        <w:rPr>
          <w:rFonts w:hint="eastAsia" w:ascii="仿宋" w:hAnsi="仿宋" w:eastAsia="仿宋" w:cs="宋体"/>
          <w:bCs/>
          <w:color w:val="auto"/>
          <w:sz w:val="24"/>
        </w:rPr>
        <w:t>即△</w:t>
      </w:r>
      <w:r>
        <w:rPr>
          <w:rFonts w:ascii="仿宋" w:hAnsi="仿宋" w:eastAsia="仿宋" w:cs="宋体"/>
          <w:bCs/>
          <w:color w:val="auto"/>
          <w:sz w:val="24"/>
        </w:rPr>
        <w:t>S&lt;-5%</w:t>
      </w:r>
      <w:r>
        <w:rPr>
          <w:rFonts w:hint="eastAsia" w:ascii="仿宋" w:hAnsi="仿宋" w:eastAsia="仿宋" w:cs="宋体"/>
          <w:bCs/>
          <w:color w:val="auto"/>
          <w:sz w:val="24"/>
        </w:rPr>
        <w:t>时：</w:t>
      </w:r>
      <w:r>
        <w:rPr>
          <w:rFonts w:ascii="仿宋" w:hAnsi="仿宋" w:eastAsia="仿宋" w:cs="宋体"/>
          <w:bCs/>
          <w:color w:val="auto"/>
          <w:sz w:val="24"/>
        </w:rPr>
        <w:t>Pn=(1+</w:t>
      </w:r>
      <w:r>
        <w:rPr>
          <w:rFonts w:hint="eastAsia" w:ascii="仿宋" w:hAnsi="仿宋" w:eastAsia="仿宋" w:cs="宋体"/>
          <w:bCs/>
          <w:color w:val="auto"/>
          <w:sz w:val="24"/>
        </w:rPr>
        <w:t>△</w:t>
      </w:r>
      <w:r>
        <w:rPr>
          <w:rFonts w:ascii="仿宋" w:hAnsi="仿宋" w:eastAsia="仿宋" w:cs="宋体"/>
          <w:bCs/>
          <w:color w:val="auto"/>
          <w:sz w:val="24"/>
        </w:rPr>
        <w:t>S+5%)*Po</w:t>
      </w:r>
      <w:r>
        <w:rPr>
          <w:rFonts w:hint="eastAsia" w:ascii="仿宋" w:hAnsi="仿宋" w:eastAsia="仿宋" w:cs="宋体"/>
          <w:bCs/>
          <w:color w:val="auto"/>
          <w:sz w:val="24"/>
          <w:lang w:eastAsia="zh-CN"/>
        </w:rPr>
        <w:t>。</w:t>
      </w:r>
    </w:p>
    <w:p w14:paraId="1E2780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w:t>
      </w:r>
      <w:r>
        <w:rPr>
          <w:rFonts w:ascii="仿宋" w:hAnsi="仿宋" w:eastAsia="仿宋" w:cs="宋体"/>
          <w:bCs/>
          <w:color w:val="auto"/>
          <w:sz w:val="24"/>
        </w:rPr>
        <w:t>Po=</w:t>
      </w:r>
      <w:r>
        <w:rPr>
          <w:rFonts w:hint="eastAsia" w:ascii="仿宋" w:hAnsi="仿宋" w:eastAsia="仿宋" w:cs="宋体"/>
          <w:bCs/>
          <w:color w:val="auto"/>
          <w:sz w:val="24"/>
        </w:rPr>
        <w:t>合同签订时普通泵送混凝土单价；</w:t>
      </w:r>
      <w:r>
        <w:rPr>
          <w:rFonts w:ascii="仿宋" w:hAnsi="仿宋" w:eastAsia="仿宋" w:cs="宋体"/>
          <w:bCs/>
          <w:color w:val="auto"/>
          <w:sz w:val="24"/>
        </w:rPr>
        <w:t>Pn=</w:t>
      </w:r>
      <w:r>
        <w:rPr>
          <w:rFonts w:hint="eastAsia" w:ascii="仿宋" w:hAnsi="仿宋" w:eastAsia="仿宋" w:cs="宋体"/>
          <w:bCs/>
          <w:color w:val="auto"/>
          <w:sz w:val="24"/>
        </w:rPr>
        <w:t>调整后施工当季普通泵送混凝土单价；</w:t>
      </w:r>
      <w:r>
        <w:rPr>
          <w:rFonts w:ascii="仿宋" w:hAnsi="仿宋" w:eastAsia="仿宋" w:cs="宋体"/>
          <w:bCs/>
          <w:color w:val="auto"/>
          <w:sz w:val="24"/>
        </w:rPr>
        <w:t>So=</w:t>
      </w:r>
      <w:r>
        <w:rPr>
          <w:rFonts w:hint="eastAsia" w:ascii="仿宋" w:hAnsi="仿宋" w:eastAsia="仿宋" w:cs="宋体"/>
          <w:bCs/>
          <w:color w:val="auto"/>
          <w:sz w:val="24"/>
        </w:rPr>
        <w:t>合同签订期间《当地工程造价信息》发布的商品混凝土信息价；</w:t>
      </w:r>
      <w:r>
        <w:rPr>
          <w:rFonts w:ascii="仿宋" w:hAnsi="仿宋" w:eastAsia="仿宋" w:cs="宋体"/>
          <w:bCs/>
          <w:color w:val="auto"/>
          <w:sz w:val="24"/>
        </w:rPr>
        <w:t>Sn=</w:t>
      </w:r>
      <w:r>
        <w:rPr>
          <w:rFonts w:hint="eastAsia" w:ascii="仿宋" w:hAnsi="仿宋" w:eastAsia="仿宋" w:cs="宋体"/>
          <w:bCs/>
          <w:color w:val="auto"/>
          <w:sz w:val="24"/>
        </w:rPr>
        <w:t>供料当季《工程造价信息》发布的商品混凝土信息价；△</w:t>
      </w:r>
      <w:r>
        <w:rPr>
          <w:rFonts w:ascii="仿宋" w:hAnsi="仿宋" w:eastAsia="仿宋" w:cs="宋体"/>
          <w:bCs/>
          <w:color w:val="auto"/>
          <w:sz w:val="24"/>
        </w:rPr>
        <w:t>S=</w:t>
      </w:r>
      <w:r>
        <w:rPr>
          <w:rFonts w:hint="eastAsia" w:ascii="仿宋" w:hAnsi="仿宋" w:eastAsia="仿宋" w:cs="宋体"/>
          <w:bCs/>
          <w:color w:val="auto"/>
          <w:sz w:val="24"/>
        </w:rPr>
        <w:t>调价系数</w:t>
      </w:r>
      <w:r>
        <w:rPr>
          <w:rFonts w:ascii="仿宋" w:hAnsi="仿宋" w:eastAsia="仿宋" w:cs="宋体"/>
          <w:bCs/>
          <w:color w:val="auto"/>
          <w:sz w:val="24"/>
        </w:rPr>
        <w:t>=</w:t>
      </w:r>
      <w:r>
        <w:rPr>
          <w:rFonts w:hint="eastAsia" w:ascii="仿宋" w:hAnsi="仿宋" w:eastAsia="仿宋" w:cs="宋体"/>
          <w:bCs/>
          <w:color w:val="auto"/>
          <w:sz w:val="24"/>
        </w:rPr>
        <w:t>（</w:t>
      </w:r>
      <w:r>
        <w:rPr>
          <w:rFonts w:ascii="仿宋" w:hAnsi="仿宋" w:eastAsia="仿宋" w:cs="宋体"/>
          <w:bCs/>
          <w:color w:val="auto"/>
          <w:sz w:val="24"/>
        </w:rPr>
        <w:t>Sn-So</w:t>
      </w:r>
      <w:r>
        <w:rPr>
          <w:rFonts w:hint="eastAsia" w:ascii="仿宋" w:hAnsi="仿宋" w:eastAsia="仿宋" w:cs="宋体"/>
          <w:bCs/>
          <w:color w:val="auto"/>
          <w:sz w:val="24"/>
        </w:rPr>
        <w:t>）</w:t>
      </w:r>
      <w:r>
        <w:rPr>
          <w:rFonts w:ascii="仿宋" w:hAnsi="仿宋" w:eastAsia="仿宋" w:cs="宋体"/>
          <w:bCs/>
          <w:color w:val="auto"/>
          <w:sz w:val="24"/>
        </w:rPr>
        <w:t>/So</w:t>
      </w:r>
      <w:r>
        <w:rPr>
          <w:rFonts w:hint="eastAsia" w:ascii="仿宋" w:hAnsi="仿宋" w:eastAsia="仿宋" w:cs="宋体"/>
          <w:bCs/>
          <w:color w:val="auto"/>
          <w:sz w:val="24"/>
        </w:rPr>
        <w:t>）。</w:t>
      </w:r>
    </w:p>
    <w:p w14:paraId="22088A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bCs/>
          <w:color w:val="auto"/>
          <w:sz w:val="24"/>
        </w:rPr>
      </w:pPr>
      <w:r>
        <w:rPr>
          <w:rFonts w:hint="eastAsia" w:ascii="仿宋" w:hAnsi="仿宋" w:eastAsia="仿宋" w:cs="宋体"/>
          <w:bCs/>
          <w:color w:val="auto"/>
          <w:sz w:val="24"/>
          <w:lang w:val="en-US" w:eastAsia="zh-CN"/>
        </w:rPr>
        <w:t>8</w:t>
      </w:r>
      <w:r>
        <w:rPr>
          <w:rFonts w:hint="eastAsia" w:ascii="仿宋" w:hAnsi="仿宋" w:eastAsia="仿宋" w:cs="宋体"/>
          <w:bCs/>
          <w:color w:val="auto"/>
          <w:sz w:val="24"/>
        </w:rPr>
        <w:t>、</w:t>
      </w:r>
      <w:r>
        <w:rPr>
          <w:rFonts w:hint="eastAsia" w:ascii="仿宋" w:hAnsi="仿宋" w:eastAsia="仿宋" w:cs="Times New Roman"/>
          <w:color w:val="auto"/>
          <w:sz w:val="24"/>
        </w:rPr>
        <w:t>发票的提供</w:t>
      </w:r>
    </w:p>
    <w:p w14:paraId="0331873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（1）乙方应在每期结算确认后，在甲方资金支付前，根据合同内容和结算书内容向甲方出具相应增值税发票。以上条件不满足时，乙方不得向甲方申请支付款项，甲方有权停止支付且由乙方自身承担资金风险。</w:t>
      </w:r>
    </w:p>
    <w:p w14:paraId="306A61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（2）乙方出具发票需同时满足以下原则：</w:t>
      </w:r>
    </w:p>
    <w:p w14:paraId="0AA94A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1）发票金额</w:t>
      </w:r>
    </w:p>
    <w:p w14:paraId="3D9782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乙方向甲方开具发票的金额（价税合计）需严格依据“累计确认结算量与资金支付量孰高原则”。</w:t>
      </w:r>
    </w:p>
    <w:p w14:paraId="3AEE49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2）票面信息</w:t>
      </w:r>
    </w:p>
    <w:p w14:paraId="6ED5CE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bCs/>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sz w:val="24"/>
        </w:rPr>
        <w:t>发票类别（增值税专用发票或普通发票）与本项目的计税方法（一般计税方法或简易计税方法）匹配。</w:t>
      </w:r>
    </w:p>
    <w:p w14:paraId="2155DC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color w:val="auto"/>
          <w:sz w:val="24"/>
        </w:rPr>
      </w:pPr>
      <w:r>
        <w:rPr>
          <w:rFonts w:hint="eastAsia" w:ascii="仿宋" w:hAnsi="仿宋" w:eastAsia="仿宋" w:cs="宋体"/>
          <w:color w:val="auto"/>
          <w:sz w:val="24"/>
        </w:rPr>
        <w:t>（3）发票提供的责任</w:t>
      </w:r>
    </w:p>
    <w:p w14:paraId="37747E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1A82F7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倍的违约金。</w:t>
      </w:r>
    </w:p>
    <w:p w14:paraId="088E3D8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仿宋" w:hAnsi="仿宋" w:eastAsia="仿宋" w:cs="宋体"/>
          <w:b/>
          <w:color w:val="auto"/>
          <w:sz w:val="24"/>
        </w:rPr>
      </w:pPr>
      <w:r>
        <w:rPr>
          <w:rFonts w:hint="eastAsia" w:ascii="仿宋" w:hAnsi="仿宋" w:eastAsia="仿宋" w:cs="宋体"/>
          <w:b/>
          <w:color w:val="auto"/>
          <w:sz w:val="24"/>
        </w:rPr>
        <w:t>八、违约责任</w:t>
      </w:r>
    </w:p>
    <w:p w14:paraId="65D94BFF">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ascii="仿宋" w:hAnsi="仿宋" w:eastAsia="仿宋" w:cs="Times New Roman"/>
          <w:color w:val="auto"/>
          <w:sz w:val="24"/>
        </w:rPr>
        <w:t>1</w:t>
      </w:r>
      <w:r>
        <w:rPr>
          <w:rFonts w:hint="eastAsia" w:ascii="仿宋" w:hAnsi="仿宋" w:eastAsia="仿宋" w:cs="Times New Roman"/>
          <w:color w:val="auto"/>
          <w:sz w:val="24"/>
        </w:rPr>
        <w:t>、乙方责任</w:t>
      </w:r>
    </w:p>
    <w:p w14:paraId="4AFC05EF">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color w:val="auto"/>
          <w:sz w:val="24"/>
          <w:lang w:val="zh-CN"/>
        </w:rPr>
      </w:pPr>
      <w:r>
        <w:rPr>
          <w:rFonts w:hint="eastAsia" w:ascii="仿宋" w:hAnsi="仿宋" w:eastAsia="仿宋" w:cs="Times New Roman"/>
          <w:color w:val="auto"/>
          <w:sz w:val="24"/>
        </w:rPr>
        <w:t>（</w:t>
      </w:r>
      <w:r>
        <w:rPr>
          <w:rFonts w:ascii="仿宋" w:hAnsi="仿宋" w:eastAsia="仿宋" w:cs="Times New Roman"/>
          <w:color w:val="auto"/>
          <w:sz w:val="24"/>
        </w:rPr>
        <w:t>1</w:t>
      </w:r>
      <w:r>
        <w:rPr>
          <w:rFonts w:hint="eastAsia" w:ascii="仿宋" w:hAnsi="仿宋" w:eastAsia="仿宋" w:cs="Times New Roman"/>
          <w:color w:val="auto"/>
          <w:sz w:val="24"/>
        </w:rPr>
        <w:t>）乙方供应的混凝土质量不符合本合同第三条、第五条、第六条的有关要求，供乙方应负责赔偿因此而造成的甲方直接经济损失，甲方有权直接在应付未付货款中直接扣减。同时，甲方有权单方解除合同，另选供应方。乙</w:t>
      </w:r>
      <w:r>
        <w:rPr>
          <w:rFonts w:hint="eastAsia" w:ascii="仿宋" w:hAnsi="仿宋" w:eastAsia="仿宋" w:cs="宋体"/>
          <w:color w:val="auto"/>
          <w:sz w:val="24"/>
          <w:lang w:val="zh-CN"/>
        </w:rPr>
        <w:t>方所供混凝土必须按照</w:t>
      </w:r>
      <w:r>
        <w:rPr>
          <w:rFonts w:hint="eastAsia" w:ascii="仿宋" w:hAnsi="仿宋" w:eastAsia="仿宋" w:cs="宋体"/>
          <w:color w:val="auto"/>
          <w:sz w:val="24"/>
        </w:rPr>
        <w:t>甲</w:t>
      </w:r>
      <w:r>
        <w:rPr>
          <w:rFonts w:hint="eastAsia" w:ascii="仿宋" w:hAnsi="仿宋" w:eastAsia="仿宋" w:cs="宋体"/>
          <w:color w:val="auto"/>
          <w:sz w:val="24"/>
          <w:lang w:val="zh-CN"/>
        </w:rPr>
        <w:t>方指定的生产厂家或品牌供货。</w:t>
      </w:r>
      <w:r>
        <w:rPr>
          <w:rFonts w:hint="eastAsia" w:ascii="仿宋" w:hAnsi="仿宋" w:eastAsia="仿宋" w:cs="宋体"/>
          <w:color w:val="auto"/>
          <w:sz w:val="24"/>
        </w:rPr>
        <w:t>乙</w:t>
      </w:r>
      <w:r>
        <w:rPr>
          <w:rFonts w:hint="eastAsia" w:ascii="仿宋" w:hAnsi="仿宋" w:eastAsia="仿宋" w:cs="宋体"/>
          <w:color w:val="auto"/>
          <w:sz w:val="24"/>
          <w:lang w:val="zh-CN"/>
        </w:rPr>
        <w:t>方供应的混凝土到达</w:t>
      </w:r>
      <w:r>
        <w:rPr>
          <w:rFonts w:hint="eastAsia" w:ascii="仿宋" w:hAnsi="仿宋" w:eastAsia="仿宋" w:cs="宋体"/>
          <w:color w:val="auto"/>
          <w:sz w:val="24"/>
        </w:rPr>
        <w:t>甲</w:t>
      </w:r>
      <w:r>
        <w:rPr>
          <w:rFonts w:hint="eastAsia" w:ascii="仿宋" w:hAnsi="仿宋" w:eastAsia="仿宋" w:cs="宋体"/>
          <w:color w:val="auto"/>
          <w:sz w:val="24"/>
          <w:lang w:val="zh-CN"/>
        </w:rPr>
        <w:t>方指定的场所后，如果</w:t>
      </w:r>
      <w:r>
        <w:rPr>
          <w:rFonts w:hint="eastAsia" w:ascii="仿宋" w:hAnsi="仿宋" w:eastAsia="仿宋" w:cs="宋体"/>
          <w:color w:val="auto"/>
          <w:sz w:val="24"/>
        </w:rPr>
        <w:t>甲</w:t>
      </w:r>
      <w:r>
        <w:rPr>
          <w:rFonts w:hint="eastAsia" w:ascii="仿宋" w:hAnsi="仿宋" w:eastAsia="仿宋" w:cs="宋体"/>
          <w:color w:val="auto"/>
          <w:sz w:val="24"/>
          <w:lang w:val="zh-CN"/>
        </w:rPr>
        <w:t>方</w:t>
      </w:r>
      <w:r>
        <w:rPr>
          <w:rFonts w:hint="eastAsia" w:ascii="仿宋" w:hAnsi="仿宋" w:eastAsia="仿宋" w:cs="宋体"/>
          <w:color w:val="auto"/>
          <w:sz w:val="24"/>
        </w:rPr>
        <w:t>经</w:t>
      </w:r>
      <w:r>
        <w:rPr>
          <w:rFonts w:hint="eastAsia" w:ascii="仿宋" w:hAnsi="仿宋" w:eastAsia="仿宋" w:cs="宋体"/>
          <w:color w:val="auto"/>
          <w:sz w:val="24"/>
          <w:lang w:val="zh-CN"/>
        </w:rPr>
        <w:t>检查不是所指定的厂家或品牌产品，</w:t>
      </w:r>
      <w:r>
        <w:rPr>
          <w:rFonts w:hint="eastAsia" w:ascii="仿宋" w:hAnsi="仿宋" w:eastAsia="仿宋" w:cs="宋体"/>
          <w:color w:val="auto"/>
          <w:sz w:val="24"/>
        </w:rPr>
        <w:t>乙</w:t>
      </w:r>
      <w:r>
        <w:rPr>
          <w:rFonts w:hint="eastAsia" w:ascii="仿宋" w:hAnsi="仿宋" w:eastAsia="仿宋" w:cs="宋体"/>
          <w:color w:val="auto"/>
          <w:sz w:val="24"/>
          <w:lang w:val="zh-CN"/>
        </w:rPr>
        <w:t>方必须无条件退货。并在不影响工期的前提下，尽快组织符合要求的混凝土到供货现场，如造成</w:t>
      </w:r>
      <w:r>
        <w:rPr>
          <w:rFonts w:hint="eastAsia" w:ascii="仿宋" w:hAnsi="仿宋" w:eastAsia="仿宋" w:cs="宋体"/>
          <w:color w:val="auto"/>
          <w:sz w:val="24"/>
        </w:rPr>
        <w:t>甲</w:t>
      </w:r>
      <w:r>
        <w:rPr>
          <w:rFonts w:hint="eastAsia" w:ascii="仿宋" w:hAnsi="仿宋" w:eastAsia="仿宋" w:cs="宋体"/>
          <w:color w:val="auto"/>
          <w:sz w:val="24"/>
          <w:lang w:val="zh-CN"/>
        </w:rPr>
        <w:t>方工程工期延误的，</w:t>
      </w:r>
      <w:r>
        <w:rPr>
          <w:rFonts w:hint="eastAsia" w:ascii="仿宋" w:hAnsi="仿宋" w:eastAsia="仿宋" w:cs="宋体"/>
          <w:color w:val="auto"/>
          <w:sz w:val="24"/>
        </w:rPr>
        <w:t>乙</w:t>
      </w:r>
      <w:r>
        <w:rPr>
          <w:rFonts w:hint="eastAsia" w:ascii="仿宋" w:hAnsi="仿宋" w:eastAsia="仿宋" w:cs="宋体"/>
          <w:color w:val="auto"/>
          <w:sz w:val="24"/>
          <w:lang w:val="zh-CN"/>
        </w:rPr>
        <w:t>方需赔偿</w:t>
      </w:r>
      <w:r>
        <w:rPr>
          <w:rFonts w:hint="eastAsia" w:ascii="仿宋" w:hAnsi="仿宋" w:eastAsia="仿宋" w:cs="宋体"/>
          <w:color w:val="auto"/>
          <w:sz w:val="24"/>
        </w:rPr>
        <w:t>甲</w:t>
      </w:r>
      <w:r>
        <w:rPr>
          <w:rFonts w:hint="eastAsia" w:ascii="仿宋" w:hAnsi="仿宋" w:eastAsia="仿宋" w:cs="宋体"/>
          <w:color w:val="auto"/>
          <w:sz w:val="24"/>
          <w:lang w:val="zh-CN"/>
        </w:rPr>
        <w:t>方</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u w:val="none"/>
        </w:rPr>
        <w:t>万</w:t>
      </w:r>
      <w:r>
        <w:rPr>
          <w:rFonts w:hint="eastAsia" w:ascii="仿宋" w:hAnsi="仿宋" w:eastAsia="仿宋" w:cs="宋体"/>
          <w:color w:val="auto"/>
          <w:sz w:val="24"/>
        </w:rPr>
        <w:t>元作为违约金，违约金不足以弥补</w:t>
      </w:r>
      <w:r>
        <w:rPr>
          <w:rFonts w:hint="eastAsia" w:ascii="仿宋" w:hAnsi="仿宋" w:eastAsia="仿宋" w:cs="宋体"/>
          <w:color w:val="auto"/>
          <w:sz w:val="24"/>
          <w:lang w:val="zh-CN"/>
        </w:rPr>
        <w:t>工期延误</w:t>
      </w:r>
      <w:r>
        <w:rPr>
          <w:rFonts w:hint="eastAsia" w:ascii="仿宋" w:hAnsi="仿宋" w:eastAsia="仿宋" w:cs="宋体"/>
          <w:color w:val="auto"/>
          <w:sz w:val="24"/>
        </w:rPr>
        <w:t>对甲方</w:t>
      </w:r>
      <w:r>
        <w:rPr>
          <w:rFonts w:hint="eastAsia" w:ascii="仿宋" w:hAnsi="仿宋" w:eastAsia="仿宋" w:cs="宋体"/>
          <w:color w:val="auto"/>
          <w:sz w:val="24"/>
          <w:lang w:val="zh-CN"/>
        </w:rPr>
        <w:t>所造成的经济损失</w:t>
      </w:r>
      <w:r>
        <w:rPr>
          <w:rFonts w:hint="eastAsia" w:ascii="仿宋" w:hAnsi="仿宋" w:eastAsia="仿宋" w:cs="宋体"/>
          <w:color w:val="auto"/>
          <w:sz w:val="24"/>
        </w:rPr>
        <w:t>的，甲方有权按照实际损失向乙方追偿</w:t>
      </w:r>
      <w:r>
        <w:rPr>
          <w:rFonts w:hint="eastAsia" w:ascii="仿宋" w:hAnsi="仿宋" w:eastAsia="仿宋" w:cs="宋体"/>
          <w:color w:val="auto"/>
          <w:sz w:val="24"/>
          <w:lang w:val="zh-CN"/>
        </w:rPr>
        <w:t>。</w:t>
      </w:r>
    </w:p>
    <w:p w14:paraId="66A04346">
      <w:pPr>
        <w:keepNext w:val="0"/>
        <w:keepLines w:val="0"/>
        <w:pageBreakBefore w:val="0"/>
        <w:widowControl w:val="0"/>
        <w:numPr>
          <w:ilvl w:val="255"/>
          <w:numId w:val="0"/>
        </w:numPr>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）如乙方无故未依时足额送货的，则从逾期第一天起，每逾期一天则按该批次材料货款万分之三的标准向甲方支付违约金，直到送货完毕为止。逾期供货超过</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日的，甲方有权解除合同并要求乙方支付该批次材料货款的</w:t>
      </w:r>
      <w:r>
        <w:rPr>
          <w:rFonts w:hint="eastAsia" w:ascii="仿宋" w:hAnsi="仿宋" w:eastAsia="仿宋" w:cs="Times New Roman"/>
          <w:color w:val="auto"/>
          <w:sz w:val="24"/>
          <w:u w:val="single"/>
          <w:lang w:val="en-US" w:eastAsia="zh-CN"/>
        </w:rPr>
        <w:t xml:space="preserve">  </w:t>
      </w:r>
      <w:r>
        <w:rPr>
          <w:rFonts w:ascii="仿宋" w:hAnsi="仿宋" w:eastAsia="仿宋" w:cs="Times New Roman"/>
          <w:color w:val="auto"/>
          <w:sz w:val="24"/>
          <w:u w:val="single"/>
        </w:rPr>
        <w:t xml:space="preserve"> </w:t>
      </w:r>
      <w:r>
        <w:rPr>
          <w:rFonts w:ascii="仿宋" w:hAnsi="仿宋" w:eastAsia="仿宋" w:cs="Times New Roman"/>
          <w:color w:val="auto"/>
          <w:sz w:val="24"/>
        </w:rPr>
        <w:t>%</w:t>
      </w:r>
      <w:r>
        <w:rPr>
          <w:rFonts w:hint="eastAsia" w:ascii="仿宋" w:hAnsi="仿宋" w:eastAsia="仿宋" w:cs="Times New Roman"/>
          <w:color w:val="auto"/>
          <w:sz w:val="24"/>
        </w:rPr>
        <w:t>作为违约金；甲方选择继续履行合同的，乙方仍须支付逾期供货违约金。（不可抗力因素造成未能按时交货的除外。）</w:t>
      </w:r>
    </w:p>
    <w:p w14:paraId="7D0E9FE4">
      <w:pPr>
        <w:keepNext w:val="0"/>
        <w:keepLines w:val="0"/>
        <w:pageBreakBefore w:val="0"/>
        <w:widowControl w:val="0"/>
        <w:numPr>
          <w:ilvl w:val="255"/>
          <w:numId w:val="0"/>
        </w:numPr>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）如乙方严重（发生超过</w:t>
      </w:r>
      <w:r>
        <w:rPr>
          <w:rFonts w:ascii="仿宋" w:hAnsi="仿宋" w:eastAsia="仿宋" w:cs="Times New Roman"/>
          <w:color w:val="auto"/>
          <w:sz w:val="24"/>
        </w:rPr>
        <w:t>3</w:t>
      </w:r>
      <w:r>
        <w:rPr>
          <w:rFonts w:hint="eastAsia" w:ascii="仿宋" w:hAnsi="仿宋" w:eastAsia="仿宋" w:cs="Times New Roman"/>
          <w:color w:val="auto"/>
          <w:sz w:val="24"/>
        </w:rPr>
        <w:t>次以上没按甲方要求供货的）配合不了现场进度供货的，甲方有权单方解除合同并要求乙方支付本合同供应暂定金额的</w:t>
      </w:r>
      <w:r>
        <w:rPr>
          <w:rFonts w:hint="eastAsia" w:ascii="仿宋" w:hAnsi="仿宋" w:eastAsia="仿宋" w:cs="Times New Roman"/>
          <w:color w:val="auto"/>
          <w:sz w:val="24"/>
          <w:u w:val="single"/>
          <w:lang w:val="en-US" w:eastAsia="zh-CN"/>
        </w:rPr>
        <w:t xml:space="preserve">  </w:t>
      </w:r>
      <w:r>
        <w:rPr>
          <w:rFonts w:ascii="仿宋" w:hAnsi="仿宋" w:eastAsia="仿宋" w:cs="Times New Roman"/>
          <w:color w:val="auto"/>
          <w:sz w:val="24"/>
        </w:rPr>
        <w:t>%</w:t>
      </w:r>
      <w:r>
        <w:rPr>
          <w:rFonts w:hint="eastAsia" w:ascii="仿宋" w:hAnsi="仿宋" w:eastAsia="仿宋" w:cs="Times New Roman"/>
          <w:color w:val="auto"/>
          <w:sz w:val="24"/>
        </w:rPr>
        <w:t>作为违约金，另选供货方。</w:t>
      </w:r>
    </w:p>
    <w:p w14:paraId="1DFBDFFE">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4</w:t>
      </w:r>
      <w:r>
        <w:rPr>
          <w:rFonts w:hint="eastAsia" w:ascii="仿宋" w:hAnsi="仿宋" w:eastAsia="仿宋" w:cs="Times New Roman"/>
          <w:color w:val="auto"/>
          <w:sz w:val="24"/>
        </w:rPr>
        <w:t>）乙方严禁使用海砂作为混凝土骨料，否则，甲方除有权不支付货款外，乙方须向甲方赔付由此而导致的经济损失，同时甲方可以另选乙方。</w:t>
      </w:r>
    </w:p>
    <w:p w14:paraId="4C57A294">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5</w:t>
      </w:r>
      <w:r>
        <w:rPr>
          <w:rFonts w:hint="eastAsia" w:ascii="仿宋" w:hAnsi="仿宋" w:eastAsia="仿宋" w:cs="Times New Roman"/>
          <w:color w:val="auto"/>
          <w:sz w:val="24"/>
        </w:rPr>
        <w:t>）如因乙方原因导致工程工期延误，由此造成甲方经济损失的，由乙方承担。</w:t>
      </w:r>
    </w:p>
    <w:p w14:paraId="4792613F">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6</w:t>
      </w:r>
      <w:r>
        <w:rPr>
          <w:rFonts w:hint="eastAsia" w:ascii="仿宋" w:hAnsi="仿宋" w:eastAsia="仿宋" w:cs="Times New Roman"/>
          <w:color w:val="auto"/>
          <w:sz w:val="24"/>
        </w:rPr>
        <w:t>）如乙方出现本款第（</w:t>
      </w:r>
      <w:r>
        <w:rPr>
          <w:rFonts w:ascii="仿宋" w:hAnsi="仿宋" w:eastAsia="仿宋" w:cs="Times New Roman"/>
          <w:color w:val="auto"/>
          <w:sz w:val="24"/>
        </w:rPr>
        <w:t>1</w:t>
      </w: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w:t>
      </w:r>
      <w:r>
        <w:rPr>
          <w:rFonts w:ascii="仿宋" w:hAnsi="仿宋" w:eastAsia="仿宋" w:cs="Times New Roman"/>
          <w:color w:val="auto"/>
          <w:sz w:val="24"/>
        </w:rPr>
        <w:t>4</w:t>
      </w:r>
      <w:r>
        <w:rPr>
          <w:rFonts w:hint="eastAsia" w:ascii="仿宋" w:hAnsi="仿宋" w:eastAsia="仿宋" w:cs="Times New Roman"/>
          <w:color w:val="auto"/>
          <w:sz w:val="24"/>
        </w:rPr>
        <w:t>）项行为的，视为违约，甲方有权单方解除合同，解除合同通知自送达至乙方时生效，本合同解除。</w:t>
      </w:r>
    </w:p>
    <w:p w14:paraId="2DF4BA55">
      <w:pPr>
        <w:tabs>
          <w:tab w:val="left" w:pos="900"/>
        </w:tabs>
        <w:spacing w:line="360" w:lineRule="auto"/>
        <w:ind w:firstLine="480" w:firstLineChars="200"/>
        <w:rPr>
          <w:rFonts w:hint="eastAsia" w:ascii="仿宋" w:hAnsi="仿宋" w:eastAsia="仿宋" w:cs="Times New Roman"/>
          <w:color w:val="auto"/>
          <w:sz w:val="24"/>
        </w:rPr>
      </w:pPr>
      <w:r>
        <w:rPr>
          <w:rFonts w:hint="eastAsia" w:ascii="仿宋" w:hAnsi="仿宋" w:eastAsia="仿宋" w:cs="Times New Roman"/>
          <w:color w:val="auto"/>
          <w:sz w:val="24"/>
        </w:rPr>
        <w:t>（7）甲方不对乙方提供的货物的商标、专利等知识产权是否侵犯第三方权利负责。对于因乙方货物导致的知识产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1642897D">
      <w:pPr>
        <w:tabs>
          <w:tab w:val="left" w:pos="900"/>
        </w:tabs>
        <w:spacing w:line="360" w:lineRule="auto"/>
        <w:ind w:firstLine="480" w:firstLineChars="200"/>
        <w:rPr>
          <w:rFonts w:hint="eastAsia" w:ascii="仿宋" w:hAnsi="仿宋" w:eastAsia="仿宋" w:cs="Times New Roman"/>
          <w:color w:val="auto"/>
          <w:sz w:val="24"/>
        </w:rPr>
      </w:pPr>
      <w:r>
        <w:rPr>
          <w:rFonts w:ascii="仿宋" w:hAnsi="仿宋" w:eastAsia="仿宋" w:cs="Times New Roman"/>
          <w:color w:val="auto"/>
          <w:sz w:val="24"/>
        </w:rPr>
        <w:t>2</w:t>
      </w:r>
      <w:r>
        <w:rPr>
          <w:rFonts w:hint="eastAsia" w:ascii="仿宋" w:hAnsi="仿宋" w:eastAsia="仿宋" w:cs="Times New Roman"/>
          <w:color w:val="auto"/>
          <w:sz w:val="24"/>
        </w:rPr>
        <w:t>、甲方责任：</w:t>
      </w:r>
    </w:p>
    <w:p w14:paraId="06E2AEC4">
      <w:pPr>
        <w:tabs>
          <w:tab w:val="left" w:pos="0"/>
        </w:tabs>
        <w:autoSpaceDE w:val="0"/>
        <w:autoSpaceDN w:val="0"/>
        <w:spacing w:line="360" w:lineRule="auto"/>
        <w:ind w:firstLine="480" w:firstLineChars="200"/>
        <w:rPr>
          <w:rFonts w:hint="eastAsia" w:ascii="仿宋" w:hAnsi="仿宋" w:eastAsia="仿宋" w:cs="Times New Roman"/>
          <w:color w:val="auto"/>
          <w:sz w:val="24"/>
          <w:lang w:val="zh-CN"/>
        </w:rPr>
      </w:pPr>
      <w:r>
        <w:rPr>
          <w:rFonts w:hint="eastAsia" w:ascii="仿宋" w:hAnsi="仿宋" w:eastAsia="仿宋" w:cs="Times New Roman"/>
          <w:color w:val="auto"/>
          <w:sz w:val="24"/>
          <w:lang w:val="zh-CN"/>
        </w:rPr>
        <w:t>（</w:t>
      </w:r>
      <w:r>
        <w:rPr>
          <w:rFonts w:hint="eastAsia" w:ascii="仿宋" w:hAnsi="仿宋" w:eastAsia="仿宋" w:cs="Times New Roman"/>
          <w:color w:val="auto"/>
          <w:sz w:val="24"/>
        </w:rPr>
        <w:t>1</w:t>
      </w:r>
      <w:r>
        <w:rPr>
          <w:rFonts w:hint="eastAsia" w:ascii="仿宋" w:hAnsi="仿宋" w:eastAsia="仿宋" w:cs="Times New Roman"/>
          <w:color w:val="auto"/>
          <w:sz w:val="24"/>
          <w:lang w:val="zh-CN"/>
        </w:rPr>
        <w:t>）甲方不按本合同规定上报</w:t>
      </w:r>
      <w:r>
        <w:rPr>
          <w:rFonts w:hint="eastAsia" w:ascii="仿宋" w:hAnsi="仿宋" w:eastAsia="仿宋" w:cs="Times New Roman"/>
          <w:color w:val="auto"/>
          <w:sz w:val="24"/>
        </w:rPr>
        <w:t>混凝土</w:t>
      </w:r>
      <w:r>
        <w:rPr>
          <w:rFonts w:hint="eastAsia" w:ascii="仿宋" w:hAnsi="仿宋" w:eastAsia="仿宋" w:cs="Times New Roman"/>
          <w:color w:val="auto"/>
          <w:sz w:val="24"/>
          <w:lang w:val="zh-CN"/>
        </w:rPr>
        <w:t>使用计划、不按本合同规定收料（含卸车不及时、便道不畅通和仓库容量不足）所造成的损失由甲方</w:t>
      </w:r>
      <w:r>
        <w:rPr>
          <w:rFonts w:hint="eastAsia" w:ascii="仿宋" w:hAnsi="仿宋" w:eastAsia="仿宋" w:cs="Times New Roman"/>
          <w:color w:val="auto"/>
          <w:sz w:val="24"/>
        </w:rPr>
        <w:t>自行</w:t>
      </w:r>
      <w:r>
        <w:rPr>
          <w:rFonts w:hint="eastAsia" w:ascii="仿宋" w:hAnsi="仿宋" w:eastAsia="仿宋" w:cs="Times New Roman"/>
          <w:color w:val="auto"/>
          <w:sz w:val="24"/>
          <w:lang w:val="zh-CN"/>
        </w:rPr>
        <w:t>承担。</w:t>
      </w:r>
    </w:p>
    <w:p w14:paraId="1822448F">
      <w:pPr>
        <w:tabs>
          <w:tab w:val="left" w:pos="0"/>
        </w:tabs>
        <w:autoSpaceDE w:val="0"/>
        <w:autoSpaceDN w:val="0"/>
        <w:spacing w:line="360" w:lineRule="auto"/>
        <w:ind w:firstLine="480" w:firstLineChars="200"/>
        <w:rPr>
          <w:rFonts w:hint="eastAsia" w:ascii="仿宋" w:hAnsi="仿宋" w:eastAsia="仿宋" w:cs="Times New Roman"/>
          <w:color w:val="auto"/>
          <w:sz w:val="24"/>
          <w:lang w:val="zh-CN"/>
        </w:rPr>
      </w:pPr>
      <w:r>
        <w:rPr>
          <w:rFonts w:hint="eastAsia" w:ascii="仿宋" w:hAnsi="仿宋" w:eastAsia="仿宋" w:cs="Times New Roman"/>
          <w:color w:val="auto"/>
          <w:sz w:val="24"/>
          <w:lang w:val="zh-CN"/>
        </w:rPr>
        <w:t>（</w:t>
      </w:r>
      <w:r>
        <w:rPr>
          <w:rFonts w:hint="eastAsia" w:ascii="仿宋" w:hAnsi="仿宋" w:eastAsia="仿宋" w:cs="Times New Roman"/>
          <w:color w:val="auto"/>
          <w:sz w:val="24"/>
        </w:rPr>
        <w:t>2</w:t>
      </w:r>
      <w:r>
        <w:rPr>
          <w:rFonts w:hint="eastAsia" w:ascii="仿宋" w:hAnsi="仿宋" w:eastAsia="仿宋" w:cs="Times New Roman"/>
          <w:color w:val="auto"/>
          <w:sz w:val="24"/>
          <w:lang w:val="zh-CN"/>
        </w:rPr>
        <w:t>）如因甲方原因致使货款未能及时支付给乙方，乙方不承担因停工待料而造成的损失。</w:t>
      </w:r>
    </w:p>
    <w:p w14:paraId="03B10454">
      <w:pPr>
        <w:spacing w:line="360" w:lineRule="auto"/>
        <w:ind w:firstLine="482" w:firstLineChars="200"/>
        <w:rPr>
          <w:rFonts w:hint="eastAsia" w:ascii="仿宋" w:hAnsi="仿宋" w:eastAsia="仿宋" w:cs="宋体"/>
          <w:b/>
          <w:color w:val="auto"/>
          <w:sz w:val="24"/>
        </w:rPr>
      </w:pPr>
      <w:r>
        <w:rPr>
          <w:rFonts w:hint="eastAsia" w:ascii="仿宋" w:hAnsi="仿宋" w:eastAsia="仿宋" w:cs="宋体"/>
          <w:b/>
          <w:color w:val="auto"/>
          <w:sz w:val="24"/>
        </w:rPr>
        <w:t>九、安全责任</w:t>
      </w:r>
    </w:p>
    <w:p w14:paraId="7D8BF69F">
      <w:pPr>
        <w:spacing w:line="360" w:lineRule="auto"/>
        <w:ind w:firstLine="480" w:firstLineChars="200"/>
        <w:rPr>
          <w:rFonts w:hint="eastAsia" w:ascii="仿宋" w:hAnsi="仿宋" w:eastAsia="仿宋" w:cs="宋体"/>
          <w:color w:val="auto"/>
          <w:sz w:val="24"/>
        </w:rPr>
      </w:pPr>
      <w:r>
        <w:rPr>
          <w:rFonts w:hint="eastAsia" w:ascii="仿宋" w:hAnsi="仿宋" w:eastAsia="仿宋" w:cs="宋体"/>
          <w:color w:val="auto"/>
          <w:sz w:val="24"/>
        </w:rPr>
        <w:t>乙方及其人员在材料进退场及材料装卸时必须严格遵守甲方现场管理的各项安全纪律要求及国家相关部门的安全条款要求，做好安全防护措施。坚决杜绝发生人身损害及其他事故，乙方及其人员如在甲方工地现场或在其进退场途中发生（包括但不限于）人身损害或因其侵权导致他人权益受损的，一切责任由乙方自行承担所有责任，与甲方无关。</w:t>
      </w:r>
    </w:p>
    <w:p w14:paraId="308E9459">
      <w:pPr>
        <w:spacing w:line="360" w:lineRule="auto"/>
        <w:ind w:firstLine="482" w:firstLineChars="200"/>
        <w:rPr>
          <w:rFonts w:hint="eastAsia" w:ascii="仿宋" w:hAnsi="仿宋" w:eastAsia="仿宋" w:cs="Times New Roman"/>
          <w:b/>
          <w:bCs/>
          <w:color w:val="auto"/>
          <w:sz w:val="24"/>
        </w:rPr>
      </w:pPr>
      <w:r>
        <w:rPr>
          <w:rFonts w:hint="eastAsia" w:ascii="仿宋" w:hAnsi="仿宋" w:eastAsia="仿宋" w:cs="宋体"/>
          <w:b/>
          <w:color w:val="auto"/>
          <w:sz w:val="24"/>
        </w:rPr>
        <w:t>十、</w:t>
      </w:r>
      <w:r>
        <w:rPr>
          <w:rFonts w:hint="eastAsia" w:ascii="仿宋" w:hAnsi="仿宋" w:eastAsia="仿宋" w:cs="Times New Roman"/>
          <w:b/>
          <w:bCs/>
          <w:color w:val="auto"/>
          <w:sz w:val="24"/>
        </w:rPr>
        <w:t>解决争议</w:t>
      </w:r>
    </w:p>
    <w:p w14:paraId="0EF29433">
      <w:pPr>
        <w:tabs>
          <w:tab w:val="left" w:pos="0"/>
        </w:tabs>
        <w:spacing w:line="360" w:lineRule="auto"/>
        <w:ind w:firstLine="480" w:firstLineChars="200"/>
        <w:rPr>
          <w:rFonts w:hint="eastAsia" w:ascii="仿宋" w:hAnsi="仿宋" w:eastAsia="仿宋" w:cs="Times New Roman"/>
          <w:color w:val="auto"/>
          <w:kern w:val="0"/>
          <w:sz w:val="24"/>
          <w:lang w:val="zh-CN"/>
        </w:rPr>
      </w:pPr>
      <w:r>
        <w:rPr>
          <w:rFonts w:hint="eastAsia" w:ascii="仿宋" w:hAnsi="仿宋" w:eastAsia="仿宋" w:cs="Times New Roman"/>
          <w:color w:val="auto"/>
          <w:kern w:val="0"/>
          <w:sz w:val="24"/>
          <w:lang w:val="zh-CN"/>
        </w:rPr>
        <w:t>本合同如在履行过程中发生争议的，双方协商解决，协商不成时，</w:t>
      </w:r>
      <w:r>
        <w:rPr>
          <w:rFonts w:hint="eastAsia" w:ascii="仿宋" w:hAnsi="仿宋" w:eastAsia="仿宋" w:cs="Times New Roman"/>
          <w:color w:val="auto"/>
          <w:sz w:val="24"/>
        </w:rPr>
        <w:t>任何一方可向甲方所在地有管辖权的人民法院提起诉讼。</w:t>
      </w:r>
    </w:p>
    <w:p w14:paraId="43964359">
      <w:pPr>
        <w:tabs>
          <w:tab w:val="left" w:pos="720"/>
        </w:tabs>
        <w:spacing w:line="360" w:lineRule="auto"/>
        <w:ind w:firstLine="482" w:firstLineChars="200"/>
        <w:rPr>
          <w:rFonts w:hint="eastAsia" w:ascii="仿宋" w:hAnsi="仿宋" w:eastAsia="仿宋" w:cs="宋体"/>
          <w:b/>
          <w:bCs/>
          <w:color w:val="auto"/>
          <w:sz w:val="24"/>
        </w:rPr>
      </w:pPr>
      <w:r>
        <w:rPr>
          <w:rFonts w:hint="eastAsia" w:ascii="仿宋" w:hAnsi="仿宋" w:eastAsia="仿宋" w:cs="Times New Roman"/>
          <w:b/>
          <w:bCs/>
          <w:color w:val="auto"/>
          <w:sz w:val="24"/>
        </w:rPr>
        <w:t>十一</w:t>
      </w:r>
      <w:r>
        <w:rPr>
          <w:rFonts w:hint="eastAsia" w:ascii="仿宋" w:hAnsi="仿宋" w:eastAsia="仿宋" w:cs="宋体"/>
          <w:b/>
          <w:bCs/>
          <w:color w:val="auto"/>
          <w:sz w:val="24"/>
        </w:rPr>
        <w:t>、其他</w:t>
      </w:r>
    </w:p>
    <w:p w14:paraId="75A5638D">
      <w:pPr>
        <w:spacing w:line="360" w:lineRule="auto"/>
        <w:ind w:firstLine="480" w:firstLineChars="200"/>
        <w:rPr>
          <w:rFonts w:hint="eastAsia" w:ascii="仿宋" w:hAnsi="仿宋" w:eastAsia="仿宋" w:cs="宋体"/>
          <w:color w:val="auto"/>
          <w:sz w:val="24"/>
        </w:rPr>
      </w:pPr>
      <w:r>
        <w:rPr>
          <w:rFonts w:ascii="仿宋" w:hAnsi="仿宋" w:eastAsia="仿宋" w:cs="宋体"/>
          <w:color w:val="auto"/>
          <w:sz w:val="24"/>
        </w:rPr>
        <w:t>1</w:t>
      </w:r>
      <w:r>
        <w:rPr>
          <w:rFonts w:hint="eastAsia" w:ascii="仿宋" w:hAnsi="仿宋" w:eastAsia="仿宋" w:cs="宋体"/>
          <w:color w:val="auto"/>
          <w:sz w:val="24"/>
        </w:rPr>
        <w:t>、</w:t>
      </w:r>
      <w:r>
        <w:rPr>
          <w:rFonts w:hint="eastAsia" w:ascii="仿宋" w:hAnsi="仿宋" w:eastAsia="仿宋" w:cs="仿宋"/>
          <w:color w:val="auto"/>
          <w:kern w:val="0"/>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仿宋"/>
          <w:bCs/>
          <w:color w:val="auto"/>
          <w:kern w:val="0"/>
          <w:sz w:val="24"/>
        </w:rPr>
        <w:t>委派项目经理签字并加盖公司公章或公司合同专用章</w:t>
      </w:r>
      <w:r>
        <w:rPr>
          <w:rFonts w:hint="eastAsia" w:ascii="仿宋" w:hAnsi="仿宋" w:eastAsia="仿宋" w:cs="仿宋"/>
          <w:color w:val="auto"/>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color w:val="auto"/>
          <w:kern w:val="0"/>
          <w:sz w:val="24"/>
          <w:u w:val="single"/>
          <w:lang w:val="en-US" w:eastAsia="zh-CN"/>
        </w:rPr>
        <w:t xml:space="preserve">   </w:t>
      </w:r>
      <w:r>
        <w:rPr>
          <w:rFonts w:hint="eastAsia" w:ascii="仿宋" w:hAnsi="仿宋" w:eastAsia="仿宋" w:cs="仿宋"/>
          <w:color w:val="auto"/>
          <w:kern w:val="0"/>
          <w:sz w:val="24"/>
        </w:rPr>
        <w:t>倍的违约金。</w:t>
      </w:r>
    </w:p>
    <w:p w14:paraId="0AEACD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color w:val="auto"/>
          <w:sz w:val="24"/>
        </w:rPr>
      </w:pPr>
      <w:r>
        <w:rPr>
          <w:rFonts w:hint="eastAsia" w:ascii="仿宋" w:hAnsi="仿宋" w:eastAsia="仿宋" w:cs="宋体"/>
          <w:color w:val="auto"/>
          <w:sz w:val="24"/>
        </w:rPr>
        <w:t>2、乙方必须在每月</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日前将上一个月的结算情况、尚欠金额的清单及具体凭证的扫描件（包括但不限于收据、发票、银行凭证等）发到甲方指定电子邮件：</w:t>
      </w:r>
      <w:r>
        <w:rPr>
          <w:rFonts w:hint="eastAsia" w:ascii="仿宋" w:hAnsi="仿宋" w:eastAsia="仿宋" w:cs="宋体"/>
          <w:color w:val="auto"/>
          <w:sz w:val="24"/>
          <w:highlight w:val="none"/>
          <w:u w:val="single"/>
          <w:lang w:val="en-US" w:eastAsia="zh-CN"/>
        </w:rPr>
        <w:t xml:space="preserve">    </w:t>
      </w:r>
      <w:r>
        <w:rPr>
          <w:rFonts w:hint="eastAsia" w:ascii="仿宋" w:hAnsi="仿宋" w:eastAsia="仿宋" w:cs="宋体"/>
          <w:color w:val="auto"/>
          <w:sz w:val="24"/>
          <w:highlight w:val="none"/>
        </w:rPr>
        <w:t>（</w:t>
      </w:r>
      <w:r>
        <w:rPr>
          <w:rFonts w:hint="eastAsia" w:ascii="仿宋" w:hAnsi="仿宋" w:eastAsia="仿宋" w:cs="宋体"/>
          <w:color w:val="auto"/>
          <w:sz w:val="24"/>
        </w:rPr>
        <w:t>需写明具体所属项目），并注明乙方经办人及联系电话。若因乙方没有按约定时间报送上述凭证资料，视为甲方对乙方该月的结算不予确认，由此产生的任何经济损失由乙方承担，与甲方无关。</w:t>
      </w:r>
    </w:p>
    <w:p w14:paraId="7A3EF663">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3、本合同最高结算金额不超过供应暂定金额（含税），超出部分甲方不予确认及支付，双方需另行协商签订补充合同。</w:t>
      </w:r>
    </w:p>
    <w:p w14:paraId="16DDC78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4、本合同如有未尽事宜或需变更补充时应另订书面补充协议，补充协议未达成之前按本合同执行，任何一方均无权擅自更改合同内容。</w:t>
      </w:r>
    </w:p>
    <w:p w14:paraId="3E90B4D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宋体"/>
          <w:color w:val="auto"/>
          <w:sz w:val="24"/>
        </w:rPr>
      </w:pPr>
      <w:r>
        <w:rPr>
          <w:rFonts w:hint="eastAsia" w:ascii="仿宋" w:hAnsi="仿宋" w:eastAsia="仿宋" w:cs="宋体"/>
          <w:color w:val="auto"/>
          <w:sz w:val="24"/>
        </w:rPr>
        <w:t>5、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78ABD46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Times New Roman"/>
          <w:color w:val="auto"/>
          <w:sz w:val="24"/>
          <w:lang w:val="en-US" w:eastAsia="zh-CN"/>
        </w:rPr>
      </w:pPr>
      <w:r>
        <w:rPr>
          <w:rFonts w:hint="eastAsia" w:ascii="仿宋" w:hAnsi="仿宋" w:eastAsia="仿宋" w:cs="Times New Roman"/>
          <w:color w:val="auto"/>
          <w:sz w:val="24"/>
        </w:rPr>
        <w:t>甲方地址：</w:t>
      </w:r>
      <w:r>
        <w:rPr>
          <w:rFonts w:hint="eastAsia" w:ascii="仿宋" w:hAnsi="仿宋" w:eastAsia="仿宋" w:cs="Times New Roman"/>
          <w:color w:val="auto"/>
          <w:sz w:val="24"/>
          <w:highlight w:val="none"/>
          <w:u w:val="single"/>
          <w:lang w:val="en-US" w:eastAsia="zh-CN"/>
        </w:rPr>
        <w:t xml:space="preserve">        </w:t>
      </w:r>
    </w:p>
    <w:p w14:paraId="3DF9C9B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仿宋" w:hAnsi="仿宋" w:eastAsia="仿宋" w:cs="Times New Roman"/>
          <w:color w:val="auto"/>
          <w:sz w:val="24"/>
          <w:lang w:val="en-US" w:eastAsia="zh-CN"/>
        </w:rPr>
      </w:pPr>
      <w:r>
        <w:rPr>
          <w:rFonts w:hint="eastAsia" w:ascii="仿宋" w:hAnsi="仿宋" w:eastAsia="仿宋" w:cs="Times New Roman"/>
          <w:color w:val="auto"/>
          <w:sz w:val="24"/>
        </w:rPr>
        <w:t>乙方地址：</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szCs w:val="24"/>
          <w:u w:val="single"/>
          <w:lang w:val="en-US" w:eastAsia="zh-CN"/>
        </w:rPr>
        <w:t xml:space="preserve">       </w:t>
      </w:r>
    </w:p>
    <w:p w14:paraId="49F6BF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6、本合同一式</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份，甲方执</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份，乙方执</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份，具有同等的法律效力。</w:t>
      </w:r>
    </w:p>
    <w:p w14:paraId="277D420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7、本合同在双方签字盖章后生效，双方履行完毕合同中全部责任后自然终止。</w:t>
      </w:r>
    </w:p>
    <w:p w14:paraId="0B7EA9FD">
      <w:pPr>
        <w:keepNext w:val="0"/>
        <w:keepLines w:val="0"/>
        <w:pageBreakBefore w:val="0"/>
        <w:widowControl w:val="0"/>
        <w:kinsoku/>
        <w:wordWrap/>
        <w:overflowPunct/>
        <w:topLinePunct w:val="0"/>
        <w:autoSpaceDE/>
        <w:autoSpaceDN/>
        <w:bidi w:val="0"/>
        <w:adjustRightInd/>
        <w:snapToGrid/>
        <w:spacing w:line="360" w:lineRule="auto"/>
        <w:ind w:right="-874" w:rightChars="-416" w:firstLine="480" w:firstLineChars="200"/>
        <w:jc w:val="both"/>
        <w:textAlignment w:val="auto"/>
        <w:rPr>
          <w:rFonts w:hint="eastAsia" w:ascii="仿宋" w:hAnsi="仿宋" w:eastAsia="仿宋" w:cs="Times New Roman"/>
          <w:color w:val="auto"/>
          <w:sz w:val="24"/>
        </w:rPr>
      </w:pPr>
      <w:r>
        <w:rPr>
          <w:rFonts w:hint="eastAsia" w:ascii="仿宋" w:hAnsi="仿宋" w:eastAsia="仿宋" w:cs="Times New Roman"/>
          <w:color w:val="auto"/>
          <w:sz w:val="24"/>
        </w:rPr>
        <w:t>（本行以下无正文）</w:t>
      </w:r>
    </w:p>
    <w:p w14:paraId="34267D6D">
      <w:pPr>
        <w:spacing w:line="360" w:lineRule="auto"/>
        <w:ind w:right="-874" w:rightChars="-416"/>
        <w:rPr>
          <w:rFonts w:hint="eastAsia" w:ascii="仿宋" w:hAnsi="仿宋" w:eastAsia="仿宋" w:cs="Times New Roman"/>
          <w:color w:val="auto"/>
          <w:sz w:val="24"/>
        </w:rPr>
      </w:pPr>
    </w:p>
    <w:p w14:paraId="30F1C675">
      <w:pPr>
        <w:widowControl w:val="0"/>
        <w:spacing w:after="120"/>
        <w:jc w:val="both"/>
        <w:rPr>
          <w:rFonts w:hint="eastAsia" w:ascii="方正书宋简体" w:hAnsi="Calibri" w:eastAsia="方正书宋简体" w:cs="Times New Roman"/>
          <w:color w:val="auto"/>
          <w:kern w:val="2"/>
          <w:sz w:val="24"/>
          <w:szCs w:val="24"/>
          <w:lang w:val="en-US" w:eastAsia="zh-CN" w:bidi="ar-SA"/>
        </w:rPr>
      </w:pPr>
    </w:p>
    <w:tbl>
      <w:tblPr>
        <w:tblStyle w:val="8"/>
        <w:tblW w:w="9359"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80"/>
        <w:gridCol w:w="4679"/>
      </w:tblGrid>
      <w:tr w14:paraId="145DB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4680" w:type="dxa"/>
            <w:tcBorders>
              <w:top w:val="nil"/>
              <w:left w:val="nil"/>
              <w:bottom w:val="nil"/>
              <w:right w:val="nil"/>
            </w:tcBorders>
            <w:noWrap w:val="0"/>
            <w:vAlign w:val="top"/>
          </w:tcPr>
          <w:p w14:paraId="03681C2C">
            <w:pPr>
              <w:widowControl/>
              <w:spacing w:line="480" w:lineRule="auto"/>
              <w:rPr>
                <w:rFonts w:ascii="仿宋" w:hAnsi="仿宋" w:eastAsia="仿宋" w:cs="仿宋"/>
                <w:color w:val="auto"/>
                <w:kern w:val="0"/>
                <w:sz w:val="24"/>
              </w:rPr>
            </w:pPr>
            <w:r>
              <w:rPr>
                <w:rFonts w:hint="eastAsia" w:ascii="仿宋" w:hAnsi="仿宋" w:eastAsia="仿宋" w:cs="仿宋"/>
                <w:color w:val="auto"/>
                <w:kern w:val="0"/>
                <w:sz w:val="24"/>
              </w:rPr>
              <w:t>甲方：</w:t>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lang w:eastAsia="zh-CN"/>
              </w:rPr>
              <w:t>（</w:t>
            </w:r>
            <w:r>
              <w:rPr>
                <w:rFonts w:hint="eastAsia" w:ascii="仿宋" w:hAnsi="仿宋" w:eastAsia="仿宋" w:cs="仿宋"/>
                <w:color w:val="auto"/>
                <w:kern w:val="0"/>
                <w:sz w:val="24"/>
                <w:lang w:val="en-US" w:eastAsia="zh-CN"/>
              </w:rPr>
              <w:t>盖章</w:t>
            </w:r>
            <w:r>
              <w:rPr>
                <w:rFonts w:hint="eastAsia" w:ascii="仿宋" w:hAnsi="仿宋" w:eastAsia="仿宋" w:cs="仿宋"/>
                <w:color w:val="auto"/>
                <w:kern w:val="0"/>
                <w:sz w:val="24"/>
                <w:lang w:eastAsia="zh-CN"/>
              </w:rPr>
              <w:t>）</w:t>
            </w:r>
            <w:r>
              <w:rPr>
                <w:rFonts w:hint="eastAsia" w:ascii="仿宋" w:hAnsi="仿宋" w:eastAsia="仿宋" w:cs="仿宋"/>
                <w:color w:val="auto"/>
                <w:kern w:val="0"/>
                <w:sz w:val="24"/>
              </w:rPr>
              <w:t xml:space="preserve">  </w:t>
            </w:r>
          </w:p>
          <w:p w14:paraId="431E156D">
            <w:pPr>
              <w:widowControl/>
              <w:spacing w:line="480" w:lineRule="auto"/>
              <w:rPr>
                <w:rFonts w:ascii="仿宋" w:hAnsi="仿宋" w:eastAsia="仿宋" w:cs="仿宋"/>
                <w:color w:val="auto"/>
                <w:kern w:val="0"/>
                <w:sz w:val="24"/>
              </w:rPr>
            </w:pPr>
            <w:r>
              <w:rPr>
                <w:rFonts w:hint="eastAsia" w:ascii="仿宋" w:hAnsi="仿宋" w:eastAsia="仿宋" w:cs="仿宋"/>
                <w:color w:val="auto"/>
                <w:kern w:val="0"/>
                <w:sz w:val="24"/>
              </w:rPr>
              <w:t xml:space="preserve">法定代表人：            </w:t>
            </w:r>
          </w:p>
          <w:p w14:paraId="4D74576A">
            <w:pPr>
              <w:widowControl/>
              <w:spacing w:line="480" w:lineRule="auto"/>
              <w:rPr>
                <w:rFonts w:ascii="仿宋" w:hAnsi="仿宋" w:eastAsia="仿宋" w:cs="仿宋"/>
                <w:color w:val="auto"/>
                <w:kern w:val="0"/>
                <w:sz w:val="24"/>
              </w:rPr>
            </w:pPr>
            <w:r>
              <w:rPr>
                <w:rFonts w:hint="eastAsia" w:ascii="仿宋" w:hAnsi="仿宋" w:eastAsia="仿宋" w:cs="仿宋"/>
                <w:color w:val="auto"/>
                <w:kern w:val="0"/>
                <w:sz w:val="24"/>
              </w:rPr>
              <w:t xml:space="preserve">授权代理人：           </w:t>
            </w:r>
          </w:p>
          <w:p w14:paraId="257A7795">
            <w:pPr>
              <w:spacing w:line="480" w:lineRule="auto"/>
              <w:rPr>
                <w:rFonts w:ascii="仿宋" w:hAnsi="仿宋" w:eastAsia="仿宋" w:cs="仿宋"/>
                <w:color w:val="auto"/>
                <w:kern w:val="0"/>
                <w:sz w:val="24"/>
              </w:rPr>
            </w:pPr>
            <w:r>
              <w:rPr>
                <w:rFonts w:hint="eastAsia" w:ascii="仿宋" w:hAnsi="仿宋" w:eastAsia="仿宋" w:cs="仿宋"/>
                <w:color w:val="auto"/>
                <w:kern w:val="0"/>
                <w:sz w:val="24"/>
              </w:rPr>
              <w:t>签定日期：</w:t>
            </w:r>
          </w:p>
        </w:tc>
        <w:tc>
          <w:tcPr>
            <w:tcW w:w="4679" w:type="dxa"/>
            <w:tcBorders>
              <w:top w:val="nil"/>
              <w:left w:val="nil"/>
              <w:bottom w:val="nil"/>
              <w:right w:val="nil"/>
            </w:tcBorders>
            <w:noWrap w:val="0"/>
            <w:vAlign w:val="top"/>
          </w:tcPr>
          <w:p w14:paraId="617C7DE1">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Times New Roman"/>
                <w:color w:val="auto"/>
                <w:sz w:val="24"/>
                <w:szCs w:val="24"/>
                <w:u w:val="single"/>
                <w:lang w:eastAsia="zh-CN"/>
              </w:rPr>
            </w:pPr>
            <w:r>
              <w:rPr>
                <w:rFonts w:hint="eastAsia" w:ascii="仿宋" w:hAnsi="仿宋" w:eastAsia="仿宋" w:cs="仿宋"/>
                <w:color w:val="auto"/>
                <w:kern w:val="0"/>
                <w:sz w:val="24"/>
              </w:rPr>
              <w:t>乙方：</w:t>
            </w:r>
            <w:r>
              <w:rPr>
                <w:rFonts w:hint="eastAsia" w:ascii="仿宋" w:hAnsi="仿宋" w:eastAsia="仿宋" w:cs="Times New Roman"/>
                <w:color w:val="auto"/>
                <w:sz w:val="24"/>
                <w:szCs w:val="24"/>
                <w:u w:val="none"/>
                <w:lang w:val="en-US" w:eastAsia="zh-CN"/>
              </w:rPr>
              <w:t xml:space="preserve">           </w:t>
            </w:r>
            <w:r>
              <w:rPr>
                <w:rFonts w:hint="eastAsia" w:ascii="仿宋" w:hAnsi="仿宋" w:eastAsia="仿宋" w:cs="Times New Roman"/>
                <w:color w:val="auto"/>
                <w:sz w:val="24"/>
                <w:szCs w:val="24"/>
                <w:u w:val="none"/>
                <w:lang w:eastAsia="zh-CN"/>
              </w:rPr>
              <w:t>（</w:t>
            </w:r>
            <w:r>
              <w:rPr>
                <w:rFonts w:hint="eastAsia" w:ascii="仿宋" w:hAnsi="仿宋" w:eastAsia="仿宋" w:cs="Times New Roman"/>
                <w:color w:val="auto"/>
                <w:sz w:val="24"/>
                <w:szCs w:val="24"/>
                <w:u w:val="none"/>
                <w:lang w:val="en-US" w:eastAsia="zh-CN"/>
              </w:rPr>
              <w:t>盖章</w:t>
            </w:r>
            <w:r>
              <w:rPr>
                <w:rFonts w:hint="eastAsia" w:ascii="仿宋" w:hAnsi="仿宋" w:eastAsia="仿宋" w:cs="Times New Roman"/>
                <w:color w:val="auto"/>
                <w:sz w:val="24"/>
                <w:szCs w:val="24"/>
                <w:u w:val="none"/>
                <w:lang w:eastAsia="zh-CN"/>
              </w:rPr>
              <w:t>）</w:t>
            </w:r>
          </w:p>
          <w:p w14:paraId="0152F2B5">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Times New Roman"/>
                <w:color w:val="auto"/>
                <w:sz w:val="24"/>
              </w:rPr>
            </w:pPr>
            <w:r>
              <w:rPr>
                <w:rFonts w:hint="eastAsia" w:ascii="仿宋" w:hAnsi="仿宋" w:eastAsia="仿宋" w:cs="仿宋"/>
                <w:color w:val="auto"/>
                <w:kern w:val="0"/>
                <w:sz w:val="24"/>
              </w:rPr>
              <w:t>法定</w:t>
            </w:r>
            <w:r>
              <w:rPr>
                <w:rFonts w:hint="eastAsia" w:ascii="仿宋" w:hAnsi="仿宋" w:eastAsia="仿宋" w:cs="Times New Roman"/>
                <w:color w:val="auto"/>
                <w:sz w:val="24"/>
              </w:rPr>
              <w:t>代表人：</w:t>
            </w:r>
          </w:p>
          <w:p w14:paraId="7CCC1FC4">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仿宋" w:hAnsi="仿宋" w:eastAsia="仿宋" w:cs="Times New Roman"/>
                <w:color w:val="auto"/>
                <w:sz w:val="24"/>
              </w:rPr>
            </w:pPr>
            <w:r>
              <w:rPr>
                <w:rFonts w:hint="eastAsia" w:ascii="仿宋" w:hAnsi="仿宋" w:eastAsia="仿宋" w:cs="Times New Roman"/>
                <w:color w:val="auto"/>
                <w:sz w:val="24"/>
              </w:rPr>
              <w:t xml:space="preserve">授权代理人：            </w:t>
            </w:r>
          </w:p>
          <w:p w14:paraId="4E286C74">
            <w:pPr>
              <w:keepNext w:val="0"/>
              <w:keepLines w:val="0"/>
              <w:pageBreakBefore w:val="0"/>
              <w:kinsoku/>
              <w:wordWrap/>
              <w:overflowPunct/>
              <w:topLinePunct w:val="0"/>
              <w:autoSpaceDE/>
              <w:autoSpaceDN/>
              <w:bidi w:val="0"/>
              <w:adjustRightInd/>
              <w:snapToGrid/>
              <w:spacing w:line="480" w:lineRule="auto"/>
              <w:textAlignment w:val="auto"/>
              <w:rPr>
                <w:rFonts w:ascii="仿宋" w:hAnsi="仿宋" w:eastAsia="仿宋" w:cs="仿宋"/>
                <w:color w:val="auto"/>
                <w:kern w:val="0"/>
                <w:sz w:val="24"/>
              </w:rPr>
            </w:pPr>
            <w:r>
              <w:rPr>
                <w:rFonts w:hint="eastAsia" w:ascii="仿宋" w:hAnsi="仿宋" w:eastAsia="仿宋" w:cs="仿宋"/>
                <w:color w:val="auto"/>
                <w:kern w:val="0"/>
                <w:sz w:val="24"/>
              </w:rPr>
              <w:t>签定日期：</w:t>
            </w:r>
          </w:p>
        </w:tc>
      </w:tr>
    </w:tbl>
    <w:p w14:paraId="63C1506E">
      <w:pPr>
        <w:autoSpaceDE w:val="0"/>
        <w:autoSpaceDN w:val="0"/>
        <w:spacing w:line="360" w:lineRule="auto"/>
        <w:rPr>
          <w:rFonts w:hint="eastAsia" w:ascii="仿宋" w:hAnsi="仿宋" w:eastAsia="仿宋" w:cs="Times New Roman"/>
          <w:color w:val="auto"/>
          <w:sz w:val="24"/>
          <w:szCs w:val="24"/>
          <w:lang w:val="zh-CN"/>
        </w:rPr>
      </w:pPr>
    </w:p>
    <w:p w14:paraId="22DFA134">
      <w:pPr>
        <w:autoSpaceDE w:val="0"/>
        <w:autoSpaceDN w:val="0"/>
        <w:spacing w:line="360" w:lineRule="auto"/>
        <w:rPr>
          <w:rFonts w:hint="eastAsia" w:ascii="仿宋" w:hAnsi="仿宋" w:eastAsia="仿宋" w:cs="Times New Roman"/>
          <w:color w:val="auto"/>
          <w:sz w:val="24"/>
          <w:szCs w:val="24"/>
          <w:lang w:val="zh-CN"/>
        </w:rPr>
      </w:pPr>
    </w:p>
    <w:p w14:paraId="2CF74C7C">
      <w:pPr>
        <w:pStyle w:val="3"/>
        <w:rPr>
          <w:rFonts w:hint="eastAsia"/>
          <w:color w:val="auto"/>
          <w:lang w:val="en-US" w:eastAsia="zh-CN"/>
        </w:rPr>
      </w:pPr>
    </w:p>
    <w:p w14:paraId="18588D67">
      <w:pPr>
        <w:pStyle w:val="3"/>
        <w:rPr>
          <w:rFonts w:hint="eastAsia"/>
          <w:color w:val="auto"/>
          <w:lang w:val="en-US" w:eastAsia="zh-CN"/>
        </w:rPr>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12"/>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（编号04号）商品混凝土</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39826987"/>
      <w:bookmarkStart w:id="20" w:name="_Toc474920011"/>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bookmarkEnd w:id="21"/>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24E4CB8C-CCAB-4057-AB91-315AC4F09BF1}"/>
  </w:font>
  <w:font w:name="仿宋">
    <w:panose1 w:val="02010609060101010101"/>
    <w:charset w:val="86"/>
    <w:family w:val="auto"/>
    <w:pitch w:val="default"/>
    <w:sig w:usb0="800002BF" w:usb1="38CF7CFA" w:usb2="00000016" w:usb3="00000000" w:csb0="00040001" w:csb1="00000000"/>
    <w:embedRegular r:id="rId2" w:fontKey="{A8CC8778-4F64-4244-94E7-EC00814D0E39}"/>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D69057AF-EEDE-415C-B68D-9856804BCAF7}"/>
  </w:font>
  <w:font w:name="Arial Unicode MS">
    <w:altName w:val="宋体"/>
    <w:panose1 w:val="020B0604020202020204"/>
    <w:charset w:val="86"/>
    <w:family w:val="roman"/>
    <w:pitch w:val="default"/>
    <w:sig w:usb0="00000000" w:usb1="00000000" w:usb2="0000003F" w:usb3="00000000" w:csb0="603F01FF" w:csb1="FFFF0000"/>
    <w:embedRegular r:id="rId4" w:fontKey="{D07BE463-DD71-4EF4-86F0-86D7FE4D2849}"/>
  </w:font>
  <w:font w:name="方正书宋简体">
    <w:panose1 w:val="02000000000000000000"/>
    <w:charset w:val="86"/>
    <w:family w:val="auto"/>
    <w:pitch w:val="default"/>
    <w:sig w:usb0="A00002BF" w:usb1="184F6CFA" w:usb2="00000012" w:usb3="00000000" w:csb0="00040001" w:csb1="00000000"/>
    <w:embedRegular r:id="rId5" w:fontKey="{3109876D-353D-424D-85CE-3524C24087BB}"/>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6265E37F"/>
    <w:multiLevelType w:val="singleLevel"/>
    <w:tmpl w:val="6265E37F"/>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5AF6D36"/>
    <w:rsid w:val="0BE74220"/>
    <w:rsid w:val="12516798"/>
    <w:rsid w:val="15D64DE0"/>
    <w:rsid w:val="15F5110D"/>
    <w:rsid w:val="1C581A4E"/>
    <w:rsid w:val="1FFA21CF"/>
    <w:rsid w:val="223E208E"/>
    <w:rsid w:val="23443CE8"/>
    <w:rsid w:val="2465270E"/>
    <w:rsid w:val="24CE66B7"/>
    <w:rsid w:val="25FF38E2"/>
    <w:rsid w:val="2D3F50FC"/>
    <w:rsid w:val="2E5D1AEE"/>
    <w:rsid w:val="31C33762"/>
    <w:rsid w:val="34A80A94"/>
    <w:rsid w:val="4015518A"/>
    <w:rsid w:val="403F7575"/>
    <w:rsid w:val="46DD15C6"/>
    <w:rsid w:val="46E666CD"/>
    <w:rsid w:val="4A537A00"/>
    <w:rsid w:val="4C81015A"/>
    <w:rsid w:val="50DD14C0"/>
    <w:rsid w:val="549A7F49"/>
    <w:rsid w:val="56023A77"/>
    <w:rsid w:val="58DA2B38"/>
    <w:rsid w:val="5ADF1011"/>
    <w:rsid w:val="5C1B2DDE"/>
    <w:rsid w:val="5F406378"/>
    <w:rsid w:val="61770BF8"/>
    <w:rsid w:val="62406095"/>
    <w:rsid w:val="63020250"/>
    <w:rsid w:val="65EC621A"/>
    <w:rsid w:val="672A074E"/>
    <w:rsid w:val="695B3EE0"/>
    <w:rsid w:val="6C7B37C0"/>
    <w:rsid w:val="6D307C24"/>
    <w:rsid w:val="6DC03737"/>
    <w:rsid w:val="6E444B47"/>
    <w:rsid w:val="720F6228"/>
    <w:rsid w:val="7709593C"/>
    <w:rsid w:val="7E132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1176</Words>
  <Characters>1324</Characters>
  <Lines>0</Lines>
  <Paragraphs>0</Paragraphs>
  <TotalTime>4</TotalTime>
  <ScaleCrop>false</ScaleCrop>
  <LinksUpToDate>false</LinksUpToDate>
  <CharactersWithSpaces>1349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H</cp:lastModifiedBy>
  <dcterms:modified xsi:type="dcterms:W3CDTF">2025-09-15T07:51:07Z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6B0B9326A1484D91A85DDA0A8BD675B0_13</vt:lpwstr>
  </property>
  <property fmtid="{D5CDD505-2E9C-101B-9397-08002B2CF9AE}" pid="4" name="KSOTemplateDocerSaveRecord">
    <vt:lpwstr>eyJoZGlkIjoiNGNhYjNjYTJjMTZkY2RjMWVmYzNiZTc3ZmUyZjg1NmUiLCJ1c2VySWQiOiI0MjUwMzg2NjkifQ==</vt:lpwstr>
  </property>
</Properties>
</file>