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广东省惠州市惠东县吉隆镇污水处理提升工程项目（二期）</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（编号11号）管材及零星配件</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2025年5月15日</w:t>
      </w:r>
    </w:p>
    <w:p w14:paraId="4F133677">
      <w:pPr>
        <w:wordWrap w:val="0"/>
        <w:rPr>
          <w:rFonts w:hint="eastAsia" w:ascii="宋体" w:hAnsi="宋体" w:eastAsia="宋体" w:cs="宋体"/>
          <w:b/>
          <w:bCs/>
          <w:color w:val="auto"/>
          <w:sz w:val="44"/>
          <w:szCs w:val="44"/>
          <w:highlight w:val="none"/>
          <w:lang w:val="zh-TW" w:eastAsia="zh-TW"/>
        </w:rPr>
        <w:sectPr>
          <w:footerReference r:id="rId5" w:type="first"/>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14</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15</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22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）的委托，诚邀国内合格参选人就广东省惠州市惠东县吉隆镇污水处理提升工程项目（二期）（编号11号）管材及零星配件</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新建污水主管网DN300～DN600mm，管长约26.49km，新建雨水主管网d300mm～d1800mm，管长约19.10km(含雨水口连接管)。(具体施工内容以施工图、工程量清单及招标人书面通知为准，当施工图与清单不一致时，以招标人的书面通知为准)。）</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承包人现场施工所需的管材及零星配件</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2025年5月21日12:00。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18927390540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公告发布时间：2025年5月15日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1" w:name="_Toc16780"/>
      <w:bookmarkStart w:id="2" w:name="_Toc31806"/>
      <w:bookmarkStart w:id="3" w:name="_Toc152045528"/>
      <w:bookmarkStart w:id="4" w:name="_Toc144974496"/>
      <w:bookmarkStart w:id="5" w:name="_Toc152042304"/>
      <w:bookmarkStart w:id="6" w:name="_Toc229646710"/>
      <w:bookmarkStart w:id="7" w:name="_Toc7164"/>
      <w:bookmarkStart w:id="8" w:name="_Toc392345907"/>
      <w:bookmarkStart w:id="9" w:name="_Toc16761"/>
      <w:bookmarkStart w:id="10" w:name="_Toc500491903"/>
      <w:bookmarkStart w:id="11" w:name="_Toc21380"/>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8"/>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933"/>
        <w:gridCol w:w="5941"/>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广东省惠州市惠东县吉隆镇污水处理提升工程项目（二期）（编号11号）管材及零星配件</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承包人现场施工所需的管材及零星配件</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5月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2025年5月21日12:00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广东省惠州市惠东县吉隆镇污水处理提升工程项目（二期）（编号11号）管材及零星配件</w:t>
      </w:r>
    </w:p>
    <w:tbl>
      <w:tblPr>
        <w:tblStyle w:val="8"/>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1787F8CD">
      <w:pPr>
        <w:rPr>
          <w:rFonts w:hint="eastAsia" w:ascii="宋体" w:hAnsi="宋体" w:eastAsia="宋体" w:cs="宋体"/>
          <w:b/>
          <w:bCs/>
          <w:color w:val="auto"/>
          <w:sz w:val="32"/>
          <w:szCs w:val="32"/>
          <w:highlight w:val="none"/>
          <w:lang w:eastAsia="zh-CN"/>
        </w:rPr>
        <w:sectPr>
          <w:footerReference r:id="rId6" w:type="default"/>
          <w:pgSz w:w="11900" w:h="16840"/>
          <w:pgMar w:top="1440" w:right="1477"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p w14:paraId="729D2C55">
      <w:pPr>
        <w:rPr>
          <w:rFonts w:hint="eastAsia" w:ascii="宋体" w:hAnsi="宋体" w:eastAsia="宋体" w:cs="宋体"/>
          <w:color w:val="auto"/>
          <w:sz w:val="20"/>
          <w:szCs w:val="20"/>
          <w:highlight w:val="none"/>
          <w:lang w:eastAsia="zh-CN"/>
        </w:rPr>
      </w:pPr>
    </w:p>
    <w:tbl>
      <w:tblPr>
        <w:tblW w:w="85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59"/>
        <w:gridCol w:w="2545"/>
        <w:gridCol w:w="1079"/>
        <w:gridCol w:w="516"/>
        <w:gridCol w:w="749"/>
        <w:gridCol w:w="820"/>
        <w:gridCol w:w="1330"/>
        <w:gridCol w:w="812"/>
      </w:tblGrid>
      <w:tr w14:paraId="73806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22" w:hRule="atLeast"/>
          <w:jc w:val="center"/>
        </w:trPr>
        <w:tc>
          <w:tcPr>
            <w:tcW w:w="13110" w:type="dxa"/>
            <w:gridSpan w:val="8"/>
            <w:tcBorders>
              <w:top w:val="nil"/>
              <w:left w:val="nil"/>
              <w:bottom w:val="nil"/>
              <w:right w:val="nil"/>
            </w:tcBorders>
            <w:shd w:val="clear"/>
            <w:noWrap/>
            <w:vAlign w:val="center"/>
          </w:tcPr>
          <w:p w14:paraId="42F376CA">
            <w:pPr>
              <w:keepNext w:val="0"/>
              <w:keepLines w:val="0"/>
              <w:widowControl/>
              <w:suppressLineNumbers w:val="0"/>
              <w:jc w:val="center"/>
              <w:textAlignment w:val="center"/>
              <w:rPr>
                <w:rFonts w:ascii="仿宋" w:hAnsi="仿宋" w:eastAsia="仿宋" w:cs="仿宋"/>
                <w:b/>
                <w:bCs/>
                <w:i w:val="0"/>
                <w:iCs w:val="0"/>
                <w:color w:val="000000"/>
                <w:sz w:val="40"/>
                <w:szCs w:val="40"/>
                <w:u w:val="none"/>
              </w:rPr>
            </w:pPr>
            <w:r>
              <w:rPr>
                <w:rFonts w:hint="eastAsia" w:ascii="仿宋" w:hAnsi="仿宋" w:eastAsia="仿宋" w:cs="仿宋"/>
                <w:b/>
                <w:bCs/>
                <w:i w:val="0"/>
                <w:iCs w:val="0"/>
                <w:color w:val="000000"/>
                <w:kern w:val="0"/>
                <w:sz w:val="40"/>
                <w:szCs w:val="40"/>
                <w:u w:val="none"/>
                <w:bdr w:val="none" w:color="auto" w:sz="0" w:space="0"/>
                <w:lang w:val="en-US" w:eastAsia="zh-CN" w:bidi="ar"/>
              </w:rPr>
              <w:t>管材及零星配件报价表</w:t>
            </w:r>
          </w:p>
        </w:tc>
      </w:tr>
      <w:tr w14:paraId="2787C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0" w:hRule="atLeast"/>
          <w:jc w:val="center"/>
        </w:trPr>
        <w:tc>
          <w:tcPr>
            <w:tcW w:w="0" w:type="auto"/>
            <w:gridSpan w:val="7"/>
            <w:tcBorders>
              <w:top w:val="nil"/>
              <w:left w:val="nil"/>
              <w:bottom w:val="nil"/>
              <w:right w:val="nil"/>
            </w:tcBorders>
            <w:shd w:val="clear"/>
            <w:noWrap/>
            <w:vAlign w:val="center"/>
          </w:tcPr>
          <w:p w14:paraId="3217449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项目名称：广东省惠州市惠东县吉隆镇污水处理提升工程项目（二期）</w:t>
            </w:r>
          </w:p>
        </w:tc>
        <w:tc>
          <w:tcPr>
            <w:tcW w:w="0" w:type="auto"/>
            <w:tcBorders>
              <w:top w:val="nil"/>
              <w:left w:val="nil"/>
              <w:bottom w:val="nil"/>
              <w:right w:val="nil"/>
            </w:tcBorders>
            <w:shd w:val="clear"/>
            <w:noWrap/>
            <w:vAlign w:val="center"/>
          </w:tcPr>
          <w:p w14:paraId="6E3303BB">
            <w:pPr>
              <w:rPr>
                <w:rFonts w:hint="eastAsia" w:ascii="宋体" w:hAnsi="宋体" w:eastAsia="宋体" w:cs="宋体"/>
                <w:i w:val="0"/>
                <w:iCs w:val="0"/>
                <w:color w:val="000000"/>
                <w:sz w:val="22"/>
                <w:szCs w:val="22"/>
                <w:u w:val="none"/>
              </w:rPr>
            </w:pPr>
          </w:p>
        </w:tc>
      </w:tr>
      <w:tr w14:paraId="4A34B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jc w:val="center"/>
        </w:trPr>
        <w:tc>
          <w:tcPr>
            <w:tcW w:w="0" w:type="auto"/>
            <w:gridSpan w:val="7"/>
            <w:tcBorders>
              <w:top w:val="nil"/>
              <w:left w:val="nil"/>
              <w:bottom w:val="nil"/>
              <w:right w:val="nil"/>
            </w:tcBorders>
            <w:shd w:val="clear"/>
            <w:noWrap/>
            <w:vAlign w:val="center"/>
          </w:tcPr>
          <w:p w14:paraId="7032873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报价单位： </w:t>
            </w:r>
          </w:p>
        </w:tc>
        <w:tc>
          <w:tcPr>
            <w:tcW w:w="0" w:type="auto"/>
            <w:tcBorders>
              <w:top w:val="nil"/>
              <w:left w:val="nil"/>
              <w:bottom w:val="nil"/>
              <w:right w:val="nil"/>
            </w:tcBorders>
            <w:shd w:val="clear"/>
            <w:noWrap/>
            <w:vAlign w:val="center"/>
          </w:tcPr>
          <w:p w14:paraId="4D66A39B">
            <w:pPr>
              <w:rPr>
                <w:rFonts w:hint="eastAsia" w:ascii="宋体" w:hAnsi="宋体" w:eastAsia="宋体" w:cs="宋体"/>
                <w:i w:val="0"/>
                <w:iCs w:val="0"/>
                <w:color w:val="000000"/>
                <w:sz w:val="22"/>
                <w:szCs w:val="22"/>
                <w:u w:val="none"/>
              </w:rPr>
            </w:pPr>
          </w:p>
        </w:tc>
      </w:tr>
      <w:tr w14:paraId="7E4C3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jc w:val="center"/>
        </w:trPr>
        <w:tc>
          <w:tcPr>
            <w:tcW w:w="11895" w:type="dxa"/>
            <w:gridSpan w:val="7"/>
            <w:tcBorders>
              <w:top w:val="nil"/>
              <w:left w:val="nil"/>
              <w:bottom w:val="nil"/>
              <w:right w:val="nil"/>
            </w:tcBorders>
            <w:shd w:val="clear"/>
            <w:vAlign w:val="center"/>
          </w:tcPr>
          <w:p w14:paraId="3DED144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报价日期：   年  月  日</w:t>
            </w:r>
          </w:p>
        </w:tc>
        <w:tc>
          <w:tcPr>
            <w:tcW w:w="0" w:type="auto"/>
            <w:tcBorders>
              <w:top w:val="nil"/>
              <w:left w:val="nil"/>
              <w:bottom w:val="nil"/>
              <w:right w:val="nil"/>
            </w:tcBorders>
            <w:shd w:val="clear"/>
            <w:noWrap/>
            <w:vAlign w:val="center"/>
          </w:tcPr>
          <w:p w14:paraId="2FA910F3">
            <w:pPr>
              <w:rPr>
                <w:rFonts w:hint="eastAsia" w:ascii="宋体" w:hAnsi="宋体" w:eastAsia="宋体" w:cs="宋体"/>
                <w:i w:val="0"/>
                <w:iCs w:val="0"/>
                <w:color w:val="000000"/>
                <w:sz w:val="22"/>
                <w:szCs w:val="22"/>
                <w:u w:val="none"/>
              </w:rPr>
            </w:pPr>
          </w:p>
        </w:tc>
      </w:tr>
      <w:tr w14:paraId="1EDA9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302" w:hRule="atLeast"/>
          <w:jc w:val="center"/>
        </w:trPr>
        <w:tc>
          <w:tcPr>
            <w:tcW w:w="960" w:type="dxa"/>
            <w:tcBorders>
              <w:top w:val="single" w:color="000000" w:sz="4" w:space="0"/>
              <w:left w:val="single" w:color="000000" w:sz="4" w:space="0"/>
              <w:bottom w:val="single" w:color="000000" w:sz="4" w:space="0"/>
              <w:right w:val="single" w:color="000000" w:sz="4" w:space="0"/>
            </w:tcBorders>
            <w:shd w:val="clear"/>
            <w:vAlign w:val="center"/>
          </w:tcPr>
          <w:p w14:paraId="74782BF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37CFC42">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bdr w:val="none" w:color="auto" w:sz="0" w:space="0"/>
                <w:lang w:val="en-US" w:eastAsia="zh-CN" w:bidi="ar"/>
              </w:rPr>
              <w:t>产品名称</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759A504">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bdr w:val="none" w:color="auto" w:sz="0" w:space="0"/>
                <w:lang w:val="en-US" w:eastAsia="zh-CN" w:bidi="ar"/>
              </w:rPr>
              <w:t>规格或型号</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0113966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单位</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E9BCA5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需求数量</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0495EAB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不含增值税单价(元)</w:t>
            </w:r>
          </w:p>
        </w:tc>
        <w:tc>
          <w:tcPr>
            <w:tcW w:w="2085" w:type="dxa"/>
            <w:tcBorders>
              <w:top w:val="single" w:color="000000" w:sz="4" w:space="0"/>
              <w:left w:val="single" w:color="000000" w:sz="4" w:space="0"/>
              <w:bottom w:val="single" w:color="000000" w:sz="4" w:space="0"/>
              <w:right w:val="single" w:color="000000" w:sz="4" w:space="0"/>
            </w:tcBorders>
            <w:shd w:val="clear"/>
            <w:vAlign w:val="center"/>
          </w:tcPr>
          <w:p w14:paraId="3A68311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不含增值税金额（元）</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F0D3B5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备注</w:t>
            </w:r>
          </w:p>
        </w:tc>
      </w:tr>
      <w:tr w14:paraId="782F2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7859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4125" w:type="dxa"/>
            <w:tcBorders>
              <w:top w:val="single" w:color="000000" w:sz="4" w:space="0"/>
              <w:left w:val="single" w:color="000000" w:sz="4" w:space="0"/>
              <w:bottom w:val="single" w:color="000000" w:sz="4" w:space="0"/>
              <w:right w:val="single" w:color="000000" w:sz="4" w:space="0"/>
            </w:tcBorders>
            <w:shd w:val="clear"/>
            <w:vAlign w:val="center"/>
          </w:tcPr>
          <w:p w14:paraId="2A6DE55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聚乙烯PE100管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2A9D8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DN315 1.6Mpa</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E44C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FA95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96</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3D41A28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DA9D3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9F936F5">
            <w:pPr>
              <w:rPr>
                <w:rFonts w:hint="eastAsia" w:ascii="宋体" w:hAnsi="宋体" w:eastAsia="宋体" w:cs="宋体"/>
                <w:i w:val="0"/>
                <w:iCs w:val="0"/>
                <w:color w:val="000000"/>
                <w:sz w:val="22"/>
                <w:szCs w:val="22"/>
                <w:u w:val="none"/>
              </w:rPr>
            </w:pPr>
          </w:p>
        </w:tc>
      </w:tr>
      <w:tr w14:paraId="31C89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8DBDE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4F946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聚乙烯PE100管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D0B29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DN400 1.6Mpa</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9309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D88B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168</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2F95890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98B4D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9E4622B">
            <w:pPr>
              <w:rPr>
                <w:rFonts w:hint="eastAsia" w:ascii="宋体" w:hAnsi="宋体" w:eastAsia="宋体" w:cs="宋体"/>
                <w:i w:val="0"/>
                <w:iCs w:val="0"/>
                <w:color w:val="000000"/>
                <w:sz w:val="22"/>
                <w:szCs w:val="22"/>
                <w:u w:val="none"/>
              </w:rPr>
            </w:pPr>
          </w:p>
        </w:tc>
      </w:tr>
      <w:tr w14:paraId="3293C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C570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BFC6B5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聚乙烯PE100管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751F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DN450 1.6Mpa</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1B074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4C44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630</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28358CF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45E5D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C59D344">
            <w:pPr>
              <w:rPr>
                <w:rFonts w:hint="eastAsia" w:ascii="宋体" w:hAnsi="宋体" w:eastAsia="宋体" w:cs="宋体"/>
                <w:i w:val="0"/>
                <w:iCs w:val="0"/>
                <w:color w:val="000000"/>
                <w:sz w:val="22"/>
                <w:szCs w:val="22"/>
                <w:u w:val="none"/>
              </w:rPr>
            </w:pPr>
          </w:p>
        </w:tc>
      </w:tr>
      <w:tr w14:paraId="3EF2C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D767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792D5A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聚乙烯PE100管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DE9E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DN500 1.6Mpa</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E015C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E3E6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42</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44DC931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F7DF1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7F50C71">
            <w:pPr>
              <w:rPr>
                <w:rFonts w:hint="eastAsia" w:ascii="宋体" w:hAnsi="宋体" w:eastAsia="宋体" w:cs="宋体"/>
                <w:i w:val="0"/>
                <w:iCs w:val="0"/>
                <w:color w:val="000000"/>
                <w:sz w:val="22"/>
                <w:szCs w:val="22"/>
                <w:u w:val="none"/>
              </w:rPr>
            </w:pPr>
          </w:p>
        </w:tc>
      </w:tr>
      <w:tr w14:paraId="75930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578B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B11A9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聚乙烯PE100管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723CE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DN630 1.6Mpa</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94C46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E7E3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1050</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0A2AF5D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06C6B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80D35CD">
            <w:pPr>
              <w:rPr>
                <w:rFonts w:hint="eastAsia" w:ascii="宋体" w:hAnsi="宋体" w:eastAsia="宋体" w:cs="宋体"/>
                <w:i w:val="0"/>
                <w:iCs w:val="0"/>
                <w:color w:val="000000"/>
                <w:sz w:val="22"/>
                <w:szCs w:val="22"/>
                <w:u w:val="none"/>
              </w:rPr>
            </w:pPr>
          </w:p>
        </w:tc>
      </w:tr>
      <w:tr w14:paraId="7BFED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809A7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D7C96B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高筋(PP)增强聚乙烯缠绕管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DAAE0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SN8 DN200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0A6E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C570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48</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296768F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6C3E2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9F46CC">
            <w:pPr>
              <w:rPr>
                <w:rFonts w:hint="eastAsia" w:ascii="宋体" w:hAnsi="宋体" w:eastAsia="宋体" w:cs="宋体"/>
                <w:i w:val="0"/>
                <w:iCs w:val="0"/>
                <w:color w:val="000000"/>
                <w:sz w:val="22"/>
                <w:szCs w:val="22"/>
                <w:u w:val="none"/>
              </w:rPr>
            </w:pPr>
          </w:p>
        </w:tc>
      </w:tr>
      <w:tr w14:paraId="09B72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4348E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7A683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高筋(PP)增强聚乙烯缠绕管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413B4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SN8 DN300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71A05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ED08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8130</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4246006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2C813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A367B0">
            <w:pPr>
              <w:rPr>
                <w:rFonts w:hint="eastAsia" w:ascii="宋体" w:hAnsi="宋体" w:eastAsia="宋体" w:cs="宋体"/>
                <w:i w:val="0"/>
                <w:iCs w:val="0"/>
                <w:color w:val="000000"/>
                <w:sz w:val="22"/>
                <w:szCs w:val="22"/>
                <w:u w:val="none"/>
              </w:rPr>
            </w:pPr>
          </w:p>
        </w:tc>
      </w:tr>
      <w:tr w14:paraId="6459E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098EF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2C470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高筋(PP)增强聚乙烯缠绕管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1131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SN8 DN400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20505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4B8F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9624</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2202ED8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AB1E4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45425E7">
            <w:pPr>
              <w:rPr>
                <w:rFonts w:hint="eastAsia" w:ascii="宋体" w:hAnsi="宋体" w:eastAsia="宋体" w:cs="宋体"/>
                <w:i w:val="0"/>
                <w:iCs w:val="0"/>
                <w:color w:val="000000"/>
                <w:sz w:val="22"/>
                <w:szCs w:val="22"/>
                <w:u w:val="none"/>
              </w:rPr>
            </w:pPr>
          </w:p>
        </w:tc>
      </w:tr>
      <w:tr w14:paraId="3E462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6618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688AE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高筋(PP)增强聚乙烯缠绕管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6EDA6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SN8 DN500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8B0C0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1561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1020</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0833771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089F8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7A780E8">
            <w:pPr>
              <w:rPr>
                <w:rFonts w:hint="eastAsia" w:ascii="宋体" w:hAnsi="宋体" w:eastAsia="宋体" w:cs="宋体"/>
                <w:i w:val="0"/>
                <w:iCs w:val="0"/>
                <w:color w:val="000000"/>
                <w:sz w:val="22"/>
                <w:szCs w:val="22"/>
                <w:u w:val="none"/>
              </w:rPr>
            </w:pPr>
          </w:p>
        </w:tc>
      </w:tr>
      <w:tr w14:paraId="05187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DBEB7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35B25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高筋(PP)增强聚乙烯缠绕管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0B57B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SN8 DN600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0F628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FDCE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460</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5F1A5BD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1993C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B7125C3">
            <w:pPr>
              <w:rPr>
                <w:rFonts w:hint="eastAsia" w:ascii="宋体" w:hAnsi="宋体" w:eastAsia="宋体" w:cs="宋体"/>
                <w:i w:val="0"/>
                <w:iCs w:val="0"/>
                <w:color w:val="000000"/>
                <w:sz w:val="22"/>
                <w:szCs w:val="22"/>
                <w:u w:val="none"/>
              </w:rPr>
            </w:pPr>
          </w:p>
        </w:tc>
      </w:tr>
      <w:tr w14:paraId="239FB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FECC2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981F92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高筋(PP)增强聚乙稀缠绕管 SN8胶圈</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CE7A5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Dn200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FF3A0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1EBF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7</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7600091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6AD0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8C29D7D">
            <w:pPr>
              <w:rPr>
                <w:rFonts w:hint="eastAsia" w:ascii="宋体" w:hAnsi="宋体" w:eastAsia="宋体" w:cs="宋体"/>
                <w:i w:val="0"/>
                <w:iCs w:val="0"/>
                <w:color w:val="000000"/>
                <w:sz w:val="22"/>
                <w:szCs w:val="22"/>
                <w:u w:val="none"/>
              </w:rPr>
            </w:pPr>
          </w:p>
        </w:tc>
      </w:tr>
      <w:tr w14:paraId="75940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A35F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C37031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高筋(PP)增强聚乙稀缠绕管 SN8胶圈</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0B159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Dn300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C7E18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79C1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1190</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40F7264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A6D5A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652B373">
            <w:pPr>
              <w:rPr>
                <w:rFonts w:hint="eastAsia" w:ascii="宋体" w:hAnsi="宋体" w:eastAsia="宋体" w:cs="宋体"/>
                <w:i w:val="0"/>
                <w:iCs w:val="0"/>
                <w:color w:val="000000"/>
                <w:sz w:val="22"/>
                <w:szCs w:val="22"/>
                <w:u w:val="none"/>
              </w:rPr>
            </w:pPr>
          </w:p>
        </w:tc>
      </w:tr>
      <w:tr w14:paraId="69FED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7A77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9D4B0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高筋(PP)增强聚乙稀缠绕管 SN8胶圈</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76B95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Dn400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1B54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531E7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1411</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3E7D734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7492A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CB9DBC0">
            <w:pPr>
              <w:rPr>
                <w:rFonts w:hint="eastAsia" w:ascii="宋体" w:hAnsi="宋体" w:eastAsia="宋体" w:cs="宋体"/>
                <w:i w:val="0"/>
                <w:iCs w:val="0"/>
                <w:color w:val="000000"/>
                <w:sz w:val="22"/>
                <w:szCs w:val="22"/>
                <w:u w:val="none"/>
              </w:rPr>
            </w:pPr>
          </w:p>
        </w:tc>
      </w:tr>
      <w:tr w14:paraId="205DF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15B3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w:t>
            </w:r>
          </w:p>
        </w:tc>
        <w:tc>
          <w:tcPr>
            <w:tcW w:w="4125" w:type="dxa"/>
            <w:tcBorders>
              <w:top w:val="single" w:color="000000" w:sz="4" w:space="0"/>
              <w:left w:val="single" w:color="000000" w:sz="4" w:space="0"/>
              <w:bottom w:val="single" w:color="000000" w:sz="4" w:space="0"/>
              <w:right w:val="single" w:color="000000" w:sz="4" w:space="0"/>
            </w:tcBorders>
            <w:shd w:val="clear"/>
            <w:vAlign w:val="center"/>
          </w:tcPr>
          <w:p w14:paraId="2953B78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高筋(PP)增强聚乙稀缠绕管 SN8胶圈</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078CCD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Dn500</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2409BB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FF97D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140</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444394A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C8671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8160754">
            <w:pPr>
              <w:rPr>
                <w:rFonts w:hint="eastAsia" w:ascii="宋体" w:hAnsi="宋体" w:eastAsia="宋体" w:cs="宋体"/>
                <w:b/>
                <w:bCs/>
                <w:i w:val="0"/>
                <w:iCs w:val="0"/>
                <w:color w:val="000000"/>
                <w:sz w:val="22"/>
                <w:szCs w:val="22"/>
                <w:u w:val="none"/>
              </w:rPr>
            </w:pPr>
          </w:p>
        </w:tc>
      </w:tr>
      <w:tr w14:paraId="5A915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603EE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w:t>
            </w:r>
          </w:p>
        </w:tc>
        <w:tc>
          <w:tcPr>
            <w:tcW w:w="4125" w:type="dxa"/>
            <w:tcBorders>
              <w:top w:val="single" w:color="000000" w:sz="4" w:space="0"/>
              <w:left w:val="single" w:color="000000" w:sz="4" w:space="0"/>
              <w:bottom w:val="single" w:color="000000" w:sz="4" w:space="0"/>
              <w:right w:val="single" w:color="000000" w:sz="4" w:space="0"/>
            </w:tcBorders>
            <w:shd w:val="clear"/>
            <w:vAlign w:val="center"/>
          </w:tcPr>
          <w:p w14:paraId="38A8A24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高筋(PP)增强聚乙稀缠绕管 SN8胶圈</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2AC8DB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Dn600</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3094F1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B32C7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65</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55B0AD0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584D0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23E27F4">
            <w:pPr>
              <w:rPr>
                <w:rFonts w:hint="eastAsia" w:ascii="宋体" w:hAnsi="宋体" w:eastAsia="宋体" w:cs="宋体"/>
                <w:b/>
                <w:bCs/>
                <w:i w:val="0"/>
                <w:iCs w:val="0"/>
                <w:color w:val="000000"/>
                <w:sz w:val="22"/>
                <w:szCs w:val="22"/>
                <w:u w:val="none"/>
              </w:rPr>
            </w:pPr>
          </w:p>
        </w:tc>
      </w:tr>
      <w:tr w14:paraId="5E149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89E0E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w:t>
            </w:r>
          </w:p>
        </w:tc>
        <w:tc>
          <w:tcPr>
            <w:tcW w:w="4125" w:type="dxa"/>
            <w:tcBorders>
              <w:top w:val="single" w:color="000000" w:sz="4" w:space="0"/>
              <w:left w:val="single" w:color="000000" w:sz="4" w:space="0"/>
              <w:bottom w:val="single" w:color="000000" w:sz="4" w:space="0"/>
              <w:right w:val="single" w:color="000000" w:sz="4" w:space="0"/>
            </w:tcBorders>
            <w:shd w:val="clear"/>
            <w:vAlign w:val="center"/>
          </w:tcPr>
          <w:p w14:paraId="292045D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UPVC排水管</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0DF2AE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dn160</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2307D8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5D1629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7038</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4237115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F6B86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004CFF4">
            <w:pPr>
              <w:rPr>
                <w:rFonts w:hint="eastAsia" w:ascii="宋体" w:hAnsi="宋体" w:eastAsia="宋体" w:cs="宋体"/>
                <w:b/>
                <w:bCs/>
                <w:i w:val="0"/>
                <w:iCs w:val="0"/>
                <w:color w:val="000000"/>
                <w:sz w:val="22"/>
                <w:szCs w:val="22"/>
                <w:u w:val="none"/>
              </w:rPr>
            </w:pPr>
          </w:p>
        </w:tc>
      </w:tr>
      <w:tr w14:paraId="7FF93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42E3C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w:t>
            </w:r>
          </w:p>
        </w:tc>
        <w:tc>
          <w:tcPr>
            <w:tcW w:w="4125" w:type="dxa"/>
            <w:tcBorders>
              <w:top w:val="single" w:color="000000" w:sz="4" w:space="0"/>
              <w:left w:val="single" w:color="000000" w:sz="4" w:space="0"/>
              <w:bottom w:val="single" w:color="000000" w:sz="4" w:space="0"/>
              <w:right w:val="single" w:color="000000" w:sz="4" w:space="0"/>
            </w:tcBorders>
            <w:shd w:val="clear"/>
            <w:vAlign w:val="center"/>
          </w:tcPr>
          <w:p w14:paraId="1E13723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UPVC排水管</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C8AD3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dn200</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627470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221D11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6948</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6178A96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35173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3357FF5">
            <w:pPr>
              <w:rPr>
                <w:rFonts w:hint="eastAsia" w:ascii="宋体" w:hAnsi="宋体" w:eastAsia="宋体" w:cs="宋体"/>
                <w:b/>
                <w:bCs/>
                <w:i w:val="0"/>
                <w:iCs w:val="0"/>
                <w:color w:val="000000"/>
                <w:sz w:val="22"/>
                <w:szCs w:val="22"/>
                <w:u w:val="none"/>
              </w:rPr>
            </w:pPr>
          </w:p>
        </w:tc>
      </w:tr>
      <w:tr w14:paraId="7757F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76625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w:t>
            </w:r>
          </w:p>
        </w:tc>
        <w:tc>
          <w:tcPr>
            <w:tcW w:w="4125" w:type="dxa"/>
            <w:tcBorders>
              <w:top w:val="single" w:color="000000" w:sz="4" w:space="0"/>
              <w:left w:val="single" w:color="000000" w:sz="4" w:space="0"/>
              <w:bottom w:val="single" w:color="000000" w:sz="4" w:space="0"/>
              <w:right w:val="single" w:color="000000" w:sz="4" w:space="0"/>
            </w:tcBorders>
            <w:shd w:val="clear"/>
            <w:vAlign w:val="center"/>
          </w:tcPr>
          <w:p w14:paraId="26BCD14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直通</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6C9FE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160</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5FC038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0F5008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1750</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721596F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80216B">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C8196E1">
            <w:pPr>
              <w:rPr>
                <w:rFonts w:hint="eastAsia" w:ascii="宋体" w:hAnsi="宋体" w:eastAsia="宋体" w:cs="宋体"/>
                <w:b/>
                <w:bCs/>
                <w:i w:val="0"/>
                <w:iCs w:val="0"/>
                <w:color w:val="000000"/>
                <w:sz w:val="22"/>
                <w:szCs w:val="22"/>
                <w:u w:val="none"/>
              </w:rPr>
            </w:pPr>
          </w:p>
        </w:tc>
      </w:tr>
      <w:tr w14:paraId="63ACB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07BF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w:t>
            </w:r>
          </w:p>
        </w:tc>
        <w:tc>
          <w:tcPr>
            <w:tcW w:w="4125" w:type="dxa"/>
            <w:tcBorders>
              <w:top w:val="single" w:color="000000" w:sz="4" w:space="0"/>
              <w:left w:val="single" w:color="000000" w:sz="4" w:space="0"/>
              <w:bottom w:val="single" w:color="000000" w:sz="4" w:space="0"/>
              <w:right w:val="single" w:color="000000" w:sz="4" w:space="0"/>
            </w:tcBorders>
            <w:shd w:val="clear"/>
            <w:vAlign w:val="center"/>
          </w:tcPr>
          <w:p w14:paraId="58645E8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三通</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C36EE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160</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173C4F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78759E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878</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20562D0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4634B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29391ED">
            <w:pPr>
              <w:rPr>
                <w:rFonts w:hint="eastAsia" w:ascii="宋体" w:hAnsi="宋体" w:eastAsia="宋体" w:cs="宋体"/>
                <w:b/>
                <w:bCs/>
                <w:i w:val="0"/>
                <w:iCs w:val="0"/>
                <w:color w:val="000000"/>
                <w:sz w:val="22"/>
                <w:szCs w:val="22"/>
                <w:u w:val="none"/>
              </w:rPr>
            </w:pPr>
          </w:p>
        </w:tc>
      </w:tr>
      <w:tr w14:paraId="23727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1EA5E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w:t>
            </w:r>
          </w:p>
        </w:tc>
        <w:tc>
          <w:tcPr>
            <w:tcW w:w="4125" w:type="dxa"/>
            <w:tcBorders>
              <w:top w:val="single" w:color="000000" w:sz="4" w:space="0"/>
              <w:left w:val="single" w:color="000000" w:sz="4" w:space="0"/>
              <w:bottom w:val="single" w:color="000000" w:sz="4" w:space="0"/>
              <w:right w:val="single" w:color="000000" w:sz="4" w:space="0"/>
            </w:tcBorders>
            <w:shd w:val="clear"/>
            <w:vAlign w:val="center"/>
          </w:tcPr>
          <w:p w14:paraId="176CFDF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90°弯头</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0CFF08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160</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277C37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140573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703</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0363074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F6D98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3384ACD">
            <w:pPr>
              <w:rPr>
                <w:rFonts w:hint="eastAsia" w:ascii="宋体" w:hAnsi="宋体" w:eastAsia="宋体" w:cs="宋体"/>
                <w:b/>
                <w:bCs/>
                <w:i w:val="0"/>
                <w:iCs w:val="0"/>
                <w:color w:val="000000"/>
                <w:sz w:val="22"/>
                <w:szCs w:val="22"/>
                <w:u w:val="none"/>
              </w:rPr>
            </w:pPr>
          </w:p>
        </w:tc>
      </w:tr>
      <w:tr w14:paraId="773C3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E11FE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w:t>
            </w:r>
          </w:p>
        </w:tc>
        <w:tc>
          <w:tcPr>
            <w:tcW w:w="4125" w:type="dxa"/>
            <w:tcBorders>
              <w:top w:val="single" w:color="000000" w:sz="4" w:space="0"/>
              <w:left w:val="single" w:color="000000" w:sz="4" w:space="0"/>
              <w:bottom w:val="single" w:color="000000" w:sz="4" w:space="0"/>
              <w:right w:val="single" w:color="000000" w:sz="4" w:space="0"/>
            </w:tcBorders>
            <w:shd w:val="clear"/>
            <w:vAlign w:val="center"/>
          </w:tcPr>
          <w:p w14:paraId="016A24B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直通</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2E0BCC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73C708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384499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1738</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5281267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102E2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C82ED34">
            <w:pPr>
              <w:rPr>
                <w:rFonts w:hint="eastAsia" w:ascii="宋体" w:hAnsi="宋体" w:eastAsia="宋体" w:cs="宋体"/>
                <w:b/>
                <w:bCs/>
                <w:i w:val="0"/>
                <w:iCs w:val="0"/>
                <w:color w:val="000000"/>
                <w:sz w:val="22"/>
                <w:szCs w:val="22"/>
                <w:u w:val="none"/>
              </w:rPr>
            </w:pPr>
          </w:p>
        </w:tc>
      </w:tr>
      <w:tr w14:paraId="5ACF9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88B8F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22</w:t>
            </w:r>
          </w:p>
        </w:tc>
        <w:tc>
          <w:tcPr>
            <w:tcW w:w="4125" w:type="dxa"/>
            <w:tcBorders>
              <w:top w:val="single" w:color="000000" w:sz="4" w:space="0"/>
              <w:left w:val="single" w:color="000000" w:sz="4" w:space="0"/>
              <w:bottom w:val="single" w:color="000000" w:sz="4" w:space="0"/>
              <w:right w:val="single" w:color="000000" w:sz="4" w:space="0"/>
            </w:tcBorders>
            <w:shd w:val="clear"/>
            <w:vAlign w:val="center"/>
          </w:tcPr>
          <w:p w14:paraId="30AB8ED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三通</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332BF2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6C0886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906AC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869</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14CE921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FA3EC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8B301D">
            <w:pPr>
              <w:rPr>
                <w:rFonts w:hint="eastAsia" w:ascii="宋体" w:hAnsi="宋体" w:eastAsia="宋体" w:cs="宋体"/>
                <w:b/>
                <w:bCs/>
                <w:i w:val="0"/>
                <w:iCs w:val="0"/>
                <w:color w:val="000000"/>
                <w:sz w:val="22"/>
                <w:szCs w:val="22"/>
                <w:u w:val="none"/>
              </w:rPr>
            </w:pPr>
          </w:p>
        </w:tc>
      </w:tr>
      <w:tr w14:paraId="122BC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8C1E1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23</w:t>
            </w:r>
          </w:p>
        </w:tc>
        <w:tc>
          <w:tcPr>
            <w:tcW w:w="4125" w:type="dxa"/>
            <w:tcBorders>
              <w:top w:val="single" w:color="000000" w:sz="4" w:space="0"/>
              <w:left w:val="single" w:color="000000" w:sz="4" w:space="0"/>
              <w:bottom w:val="single" w:color="000000" w:sz="4" w:space="0"/>
              <w:right w:val="single" w:color="000000" w:sz="4" w:space="0"/>
            </w:tcBorders>
            <w:shd w:val="clear"/>
            <w:vAlign w:val="center"/>
          </w:tcPr>
          <w:p w14:paraId="657324D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90°弯头</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1A0CBA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w:t>
            </w:r>
          </w:p>
        </w:tc>
        <w:tc>
          <w:tcPr>
            <w:tcW w:w="720" w:type="dxa"/>
            <w:tcBorders>
              <w:top w:val="single" w:color="000000" w:sz="4" w:space="0"/>
              <w:left w:val="single" w:color="000000" w:sz="4" w:space="0"/>
              <w:bottom w:val="single" w:color="000000" w:sz="4" w:space="0"/>
              <w:right w:val="single" w:color="000000" w:sz="4" w:space="0"/>
            </w:tcBorders>
            <w:shd w:val="clear"/>
            <w:vAlign w:val="center"/>
          </w:tcPr>
          <w:p w14:paraId="6B8667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1110" w:type="dxa"/>
            <w:tcBorders>
              <w:top w:val="single" w:color="000000" w:sz="4" w:space="0"/>
              <w:left w:val="single" w:color="000000" w:sz="4" w:space="0"/>
              <w:bottom w:val="single" w:color="000000" w:sz="4" w:space="0"/>
              <w:right w:val="single" w:color="000000" w:sz="4" w:space="0"/>
            </w:tcBorders>
            <w:shd w:val="clear"/>
            <w:vAlign w:val="center"/>
          </w:tcPr>
          <w:p w14:paraId="6E2CAD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695</w:t>
            </w: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5F9FC81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3367C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708E513">
            <w:pPr>
              <w:rPr>
                <w:rFonts w:hint="eastAsia" w:ascii="宋体" w:hAnsi="宋体" w:eastAsia="宋体" w:cs="宋体"/>
                <w:b/>
                <w:bCs/>
                <w:i w:val="0"/>
                <w:iCs w:val="0"/>
                <w:color w:val="000000"/>
                <w:sz w:val="22"/>
                <w:szCs w:val="22"/>
                <w:u w:val="none"/>
              </w:rPr>
            </w:pPr>
          </w:p>
        </w:tc>
      </w:tr>
      <w:tr w14:paraId="5035F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9810" w:type="dxa"/>
            <w:gridSpan w:val="6"/>
            <w:tcBorders>
              <w:top w:val="single" w:color="000000" w:sz="4" w:space="0"/>
              <w:left w:val="single" w:color="000000" w:sz="4" w:space="0"/>
              <w:bottom w:val="single" w:color="000000" w:sz="4" w:space="0"/>
              <w:right w:val="single" w:color="000000" w:sz="4" w:space="0"/>
            </w:tcBorders>
            <w:shd w:val="clear"/>
            <w:vAlign w:val="center"/>
          </w:tcPr>
          <w:p w14:paraId="714DFE4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合计</w:t>
            </w:r>
          </w:p>
        </w:tc>
        <w:tc>
          <w:tcPr>
            <w:tcW w:w="2085" w:type="dxa"/>
            <w:tcBorders>
              <w:top w:val="single" w:color="000000" w:sz="4" w:space="0"/>
              <w:left w:val="single" w:color="000000" w:sz="4" w:space="0"/>
              <w:bottom w:val="single" w:color="000000" w:sz="4" w:space="0"/>
              <w:right w:val="single" w:color="000000" w:sz="4" w:space="0"/>
            </w:tcBorders>
            <w:shd w:val="clear"/>
            <w:vAlign w:val="center"/>
          </w:tcPr>
          <w:p w14:paraId="77A02C01">
            <w:pPr>
              <w:jc w:val="center"/>
              <w:rPr>
                <w:rFonts w:hint="eastAsia" w:ascii="宋体" w:hAnsi="宋体" w:eastAsia="宋体" w:cs="宋体"/>
                <w:b/>
                <w:bCs/>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273FF9">
            <w:pPr>
              <w:rPr>
                <w:rFonts w:hint="eastAsia" w:ascii="宋体" w:hAnsi="宋体" w:eastAsia="宋体" w:cs="宋体"/>
                <w:b/>
                <w:bCs/>
                <w:i w:val="0"/>
                <w:iCs w:val="0"/>
                <w:color w:val="000000"/>
                <w:sz w:val="22"/>
                <w:szCs w:val="22"/>
                <w:u w:val="none"/>
              </w:rPr>
            </w:pPr>
          </w:p>
        </w:tc>
      </w:tr>
      <w:tr w14:paraId="3DFE7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80" w:hRule="atLeast"/>
          <w:jc w:val="center"/>
        </w:trPr>
        <w:tc>
          <w:tcPr>
            <w:tcW w:w="9810" w:type="dxa"/>
            <w:gridSpan w:val="6"/>
            <w:tcBorders>
              <w:top w:val="single" w:color="000000" w:sz="4" w:space="0"/>
              <w:left w:val="single" w:color="000000" w:sz="4" w:space="0"/>
              <w:bottom w:val="single" w:color="000000" w:sz="4" w:space="0"/>
              <w:right w:val="single" w:color="000000" w:sz="4" w:space="0"/>
            </w:tcBorders>
            <w:shd w:val="clear"/>
            <w:vAlign w:val="center"/>
          </w:tcPr>
          <w:p w14:paraId="3F2840F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增值税（   %）</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2FDFBF4">
            <w:pPr>
              <w:jc w:val="center"/>
              <w:rPr>
                <w:rFonts w:hint="eastAsia" w:ascii="宋体" w:hAnsi="宋体" w:eastAsia="宋体" w:cs="宋体"/>
                <w:b/>
                <w:bCs/>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5161121">
            <w:pPr>
              <w:rPr>
                <w:rFonts w:hint="eastAsia" w:ascii="宋体" w:hAnsi="宋体" w:eastAsia="宋体" w:cs="宋体"/>
                <w:b/>
                <w:bCs/>
                <w:i w:val="0"/>
                <w:iCs w:val="0"/>
                <w:color w:val="000000"/>
                <w:sz w:val="22"/>
                <w:szCs w:val="22"/>
                <w:u w:val="none"/>
              </w:rPr>
            </w:pPr>
          </w:p>
        </w:tc>
      </w:tr>
      <w:tr w14:paraId="0E656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80" w:hRule="atLeast"/>
          <w:jc w:val="center"/>
        </w:trPr>
        <w:tc>
          <w:tcPr>
            <w:tcW w:w="9810" w:type="dxa"/>
            <w:gridSpan w:val="6"/>
            <w:tcBorders>
              <w:top w:val="single" w:color="000000" w:sz="4" w:space="0"/>
              <w:left w:val="single" w:color="000000" w:sz="4" w:space="0"/>
              <w:bottom w:val="single" w:color="000000" w:sz="4" w:space="0"/>
              <w:right w:val="single" w:color="000000" w:sz="4" w:space="0"/>
            </w:tcBorders>
            <w:shd w:val="clear"/>
            <w:vAlign w:val="center"/>
          </w:tcPr>
          <w:p w14:paraId="46888AD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含税合计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97F6F2">
            <w:pPr>
              <w:jc w:val="center"/>
              <w:rPr>
                <w:rFonts w:hint="eastAsia" w:ascii="宋体" w:hAnsi="宋体" w:eastAsia="宋体" w:cs="宋体"/>
                <w:b/>
                <w:bCs/>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5B88A08">
            <w:pPr>
              <w:rPr>
                <w:rFonts w:hint="eastAsia" w:ascii="宋体" w:hAnsi="宋体" w:eastAsia="宋体" w:cs="宋体"/>
                <w:b/>
                <w:bCs/>
                <w:i w:val="0"/>
                <w:iCs w:val="0"/>
                <w:color w:val="000000"/>
                <w:sz w:val="22"/>
                <w:szCs w:val="22"/>
                <w:u w:val="none"/>
              </w:rPr>
            </w:pPr>
          </w:p>
        </w:tc>
      </w:tr>
      <w:tr w14:paraId="23596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80" w:hRule="atLeast"/>
          <w:jc w:val="center"/>
        </w:trPr>
        <w:tc>
          <w:tcPr>
            <w:tcW w:w="13110" w:type="dxa"/>
            <w:gridSpan w:val="8"/>
            <w:vMerge w:val="restart"/>
            <w:tcBorders>
              <w:top w:val="single" w:color="000000" w:sz="4" w:space="0"/>
              <w:left w:val="single" w:color="000000" w:sz="4" w:space="0"/>
              <w:bottom w:val="single" w:color="000000" w:sz="4" w:space="0"/>
              <w:right w:val="single" w:color="000000" w:sz="4" w:space="0"/>
            </w:tcBorders>
            <w:shd w:val="clear"/>
            <w:vAlign w:val="center"/>
          </w:tcPr>
          <w:p w14:paraId="59EFB05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以上报为含税价格，税率为   %，开具增值税专用发票。</w:t>
            </w:r>
          </w:p>
        </w:tc>
      </w:tr>
      <w:tr w14:paraId="243C9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80" w:hRule="atLeast"/>
          <w:jc w:val="center"/>
        </w:trPr>
        <w:tc>
          <w:tcPr>
            <w:tcW w:w="13110" w:type="dxa"/>
            <w:gridSpan w:val="8"/>
            <w:vMerge w:val="continue"/>
            <w:tcBorders>
              <w:top w:val="single" w:color="000000" w:sz="4" w:space="0"/>
              <w:left w:val="single" w:color="000000" w:sz="4" w:space="0"/>
              <w:bottom w:val="single" w:color="000000" w:sz="4" w:space="0"/>
              <w:right w:val="single" w:color="000000" w:sz="4" w:space="0"/>
            </w:tcBorders>
            <w:shd w:val="clear"/>
            <w:vAlign w:val="center"/>
          </w:tcPr>
          <w:p w14:paraId="240D6A67">
            <w:pPr>
              <w:jc w:val="center"/>
              <w:rPr>
                <w:rFonts w:hint="eastAsia" w:ascii="宋体" w:hAnsi="宋体" w:eastAsia="宋体" w:cs="宋体"/>
                <w:b/>
                <w:bCs/>
                <w:i w:val="0"/>
                <w:iCs w:val="0"/>
                <w:color w:val="000000"/>
                <w:sz w:val="24"/>
                <w:szCs w:val="24"/>
                <w:u w:val="none"/>
              </w:rPr>
            </w:pPr>
          </w:p>
        </w:tc>
      </w:tr>
      <w:tr w14:paraId="5BA39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80" w:hRule="atLeast"/>
          <w:jc w:val="center"/>
        </w:trPr>
        <w:tc>
          <w:tcPr>
            <w:tcW w:w="960" w:type="dxa"/>
            <w:tcBorders>
              <w:top w:val="nil"/>
              <w:left w:val="nil"/>
              <w:bottom w:val="nil"/>
              <w:right w:val="nil"/>
            </w:tcBorders>
            <w:shd w:val="clear"/>
            <w:vAlign w:val="center"/>
          </w:tcPr>
          <w:p w14:paraId="7C74ECE0">
            <w:pPr>
              <w:jc w:val="center"/>
              <w:rPr>
                <w:rFonts w:hint="eastAsia" w:ascii="宋体" w:hAnsi="宋体" w:eastAsia="宋体" w:cs="宋体"/>
                <w:i w:val="0"/>
                <w:iCs w:val="0"/>
                <w:color w:val="000000"/>
                <w:sz w:val="24"/>
                <w:szCs w:val="24"/>
                <w:u w:val="none"/>
              </w:rPr>
            </w:pPr>
          </w:p>
        </w:tc>
        <w:tc>
          <w:tcPr>
            <w:tcW w:w="4125" w:type="dxa"/>
            <w:tcBorders>
              <w:top w:val="nil"/>
              <w:left w:val="nil"/>
              <w:bottom w:val="nil"/>
              <w:right w:val="nil"/>
            </w:tcBorders>
            <w:shd w:val="clear"/>
            <w:vAlign w:val="center"/>
          </w:tcPr>
          <w:p w14:paraId="63D19E93">
            <w:pPr>
              <w:jc w:val="center"/>
              <w:rPr>
                <w:rFonts w:hint="eastAsia" w:ascii="宋体" w:hAnsi="宋体" w:eastAsia="宋体" w:cs="宋体"/>
                <w:i w:val="0"/>
                <w:iCs w:val="0"/>
                <w:color w:val="000000"/>
                <w:sz w:val="24"/>
                <w:szCs w:val="24"/>
                <w:u w:val="none"/>
              </w:rPr>
            </w:pPr>
          </w:p>
        </w:tc>
        <w:tc>
          <w:tcPr>
            <w:tcW w:w="1665" w:type="dxa"/>
            <w:tcBorders>
              <w:top w:val="nil"/>
              <w:left w:val="nil"/>
              <w:bottom w:val="nil"/>
              <w:right w:val="nil"/>
            </w:tcBorders>
            <w:shd w:val="clear"/>
            <w:vAlign w:val="center"/>
          </w:tcPr>
          <w:p w14:paraId="1F7E2204">
            <w:pPr>
              <w:jc w:val="center"/>
              <w:rPr>
                <w:rFonts w:hint="eastAsia" w:ascii="宋体" w:hAnsi="宋体" w:eastAsia="宋体" w:cs="宋体"/>
                <w:i w:val="0"/>
                <w:iCs w:val="0"/>
                <w:color w:val="000000"/>
                <w:sz w:val="24"/>
                <w:szCs w:val="24"/>
                <w:u w:val="none"/>
              </w:rPr>
            </w:pPr>
          </w:p>
        </w:tc>
        <w:tc>
          <w:tcPr>
            <w:tcW w:w="720" w:type="dxa"/>
            <w:tcBorders>
              <w:top w:val="nil"/>
              <w:left w:val="nil"/>
              <w:bottom w:val="nil"/>
              <w:right w:val="nil"/>
            </w:tcBorders>
            <w:shd w:val="clear"/>
            <w:vAlign w:val="center"/>
          </w:tcPr>
          <w:p w14:paraId="22B13745">
            <w:pPr>
              <w:jc w:val="center"/>
              <w:rPr>
                <w:rFonts w:hint="eastAsia" w:ascii="宋体" w:hAnsi="宋体" w:eastAsia="宋体" w:cs="宋体"/>
                <w:i w:val="0"/>
                <w:iCs w:val="0"/>
                <w:color w:val="000000"/>
                <w:sz w:val="24"/>
                <w:szCs w:val="24"/>
                <w:u w:val="none"/>
              </w:rPr>
            </w:pPr>
          </w:p>
        </w:tc>
        <w:tc>
          <w:tcPr>
            <w:tcW w:w="1110" w:type="dxa"/>
            <w:tcBorders>
              <w:top w:val="nil"/>
              <w:left w:val="nil"/>
              <w:bottom w:val="nil"/>
              <w:right w:val="nil"/>
            </w:tcBorders>
            <w:shd w:val="clear"/>
            <w:vAlign w:val="center"/>
          </w:tcPr>
          <w:p w14:paraId="4FAD7F97">
            <w:pPr>
              <w:jc w:val="center"/>
              <w:rPr>
                <w:rFonts w:hint="eastAsia" w:ascii="宋体" w:hAnsi="宋体" w:eastAsia="宋体" w:cs="宋体"/>
                <w:i w:val="0"/>
                <w:iCs w:val="0"/>
                <w:color w:val="000000"/>
                <w:sz w:val="24"/>
                <w:szCs w:val="24"/>
                <w:u w:val="none"/>
              </w:rPr>
            </w:pPr>
          </w:p>
        </w:tc>
        <w:tc>
          <w:tcPr>
            <w:tcW w:w="1230" w:type="dxa"/>
            <w:tcBorders>
              <w:top w:val="nil"/>
              <w:left w:val="nil"/>
              <w:bottom w:val="nil"/>
              <w:right w:val="nil"/>
            </w:tcBorders>
            <w:shd w:val="clear"/>
            <w:vAlign w:val="center"/>
          </w:tcPr>
          <w:p w14:paraId="142F48A6">
            <w:pPr>
              <w:jc w:val="center"/>
              <w:rPr>
                <w:rFonts w:hint="eastAsia" w:ascii="宋体" w:hAnsi="宋体" w:eastAsia="宋体" w:cs="宋体"/>
                <w:i w:val="0"/>
                <w:iCs w:val="0"/>
                <w:color w:val="000000"/>
                <w:sz w:val="24"/>
                <w:szCs w:val="24"/>
                <w:u w:val="none"/>
              </w:rPr>
            </w:pPr>
          </w:p>
        </w:tc>
        <w:tc>
          <w:tcPr>
            <w:tcW w:w="2085" w:type="dxa"/>
            <w:tcBorders>
              <w:top w:val="nil"/>
              <w:left w:val="nil"/>
              <w:bottom w:val="nil"/>
              <w:right w:val="nil"/>
            </w:tcBorders>
            <w:shd w:val="clear"/>
            <w:vAlign w:val="center"/>
          </w:tcPr>
          <w:p w14:paraId="3C535370">
            <w:pPr>
              <w:jc w:val="center"/>
              <w:rPr>
                <w:rFonts w:hint="eastAsia" w:ascii="宋体" w:hAnsi="宋体" w:eastAsia="宋体" w:cs="宋体"/>
                <w:i w:val="0"/>
                <w:iCs w:val="0"/>
                <w:color w:val="000000"/>
                <w:sz w:val="24"/>
                <w:szCs w:val="24"/>
                <w:u w:val="none"/>
              </w:rPr>
            </w:pPr>
          </w:p>
        </w:tc>
        <w:tc>
          <w:tcPr>
            <w:tcW w:w="1215" w:type="dxa"/>
            <w:tcBorders>
              <w:top w:val="nil"/>
              <w:left w:val="nil"/>
              <w:bottom w:val="nil"/>
              <w:right w:val="nil"/>
            </w:tcBorders>
            <w:shd w:val="clear"/>
            <w:vAlign w:val="center"/>
          </w:tcPr>
          <w:p w14:paraId="221A4301">
            <w:pPr>
              <w:jc w:val="center"/>
              <w:rPr>
                <w:rFonts w:hint="eastAsia" w:ascii="宋体" w:hAnsi="宋体" w:eastAsia="宋体" w:cs="宋体"/>
                <w:i w:val="0"/>
                <w:iCs w:val="0"/>
                <w:color w:val="000000"/>
                <w:sz w:val="24"/>
                <w:szCs w:val="24"/>
                <w:u w:val="none"/>
              </w:rPr>
            </w:pPr>
          </w:p>
        </w:tc>
      </w:tr>
      <w:tr w14:paraId="25204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80" w:hRule="atLeast"/>
          <w:jc w:val="center"/>
        </w:trPr>
        <w:tc>
          <w:tcPr>
            <w:tcW w:w="13110" w:type="dxa"/>
            <w:gridSpan w:val="8"/>
            <w:tcBorders>
              <w:top w:val="nil"/>
              <w:left w:val="nil"/>
              <w:bottom w:val="nil"/>
              <w:right w:val="nil"/>
            </w:tcBorders>
            <w:shd w:val="clear"/>
            <w:vAlign w:val="top"/>
          </w:tcPr>
          <w:p w14:paraId="6E8D12AC">
            <w:pPr>
              <w:keepNext w:val="0"/>
              <w:keepLines w:val="0"/>
              <w:widowControl/>
              <w:suppressLineNumbers w:val="0"/>
              <w:jc w:val="left"/>
              <w:textAlignment w:val="top"/>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联系人：                 联系方式： </w:t>
            </w:r>
          </w:p>
        </w:tc>
      </w:tr>
    </w:tbl>
    <w:p w14:paraId="58F89EA1">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2904EF48">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 xml:space="preserve"> </w:t>
      </w:r>
      <w:bookmarkStart w:id="15" w:name="_Toc20303"/>
      <w:r>
        <w:rPr>
          <w:rFonts w:hint="eastAsia" w:ascii="宋体" w:hAnsi="宋体" w:eastAsia="宋体" w:cs="宋体"/>
          <w:b/>
          <w:bCs/>
          <w:color w:val="auto"/>
          <w:kern w:val="0"/>
          <w:sz w:val="32"/>
          <w:szCs w:val="32"/>
          <w:highlight w:val="none"/>
          <w:lang w:val="en-US" w:eastAsia="zh-CN"/>
        </w:rPr>
        <w:t>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4E501313">
      <w:pPr>
        <w:widowControl w:val="0"/>
        <w:spacing w:before="113" w:after="120" w:line="220" w:lineRule="auto"/>
        <w:ind w:left="1910"/>
        <w:jc w:val="both"/>
        <w:outlineLvl w:val="9"/>
        <w:rPr>
          <w:rFonts w:ascii="方正书宋简体" w:hAnsi="Times New Roman" w:eastAsia="方正书宋简体" w:cs="Times New Roman"/>
          <w:kern w:val="2"/>
          <w:sz w:val="35"/>
          <w:szCs w:val="35"/>
          <w:lang w:val="en-US" w:eastAsia="zh-CN" w:bidi="ar-SA"/>
        </w:rPr>
      </w:pPr>
      <w:r>
        <w:rPr>
          <w:rFonts w:hint="eastAsia" w:ascii="方正书宋简体" w:hAnsi="Times New Roman" w:eastAsia="方正书宋简体" w:cs="Times New Roman"/>
          <w:b/>
          <w:bCs/>
          <w:spacing w:val="3"/>
          <w:kern w:val="2"/>
          <w:sz w:val="35"/>
          <w:szCs w:val="35"/>
          <w:lang w:val="en-US" w:eastAsia="zh-CN" w:bidi="ar-SA"/>
        </w:rPr>
        <w:t>管材及零星配件</w:t>
      </w:r>
      <w:r>
        <w:rPr>
          <w:rFonts w:ascii="方正书宋简体" w:hAnsi="Times New Roman" w:eastAsia="方正书宋简体" w:cs="Times New Roman"/>
          <w:b/>
          <w:bCs/>
          <w:spacing w:val="3"/>
          <w:kern w:val="2"/>
          <w:sz w:val="35"/>
          <w:szCs w:val="35"/>
          <w:lang w:val="en-US" w:eastAsia="zh-CN" w:bidi="ar-SA"/>
        </w:rPr>
        <w:t>采购供应合同</w:t>
      </w:r>
    </w:p>
    <w:p w14:paraId="67B96EAF">
      <w:pPr>
        <w:wordWrap w:val="0"/>
        <w:spacing w:line="360" w:lineRule="auto"/>
        <w:jc w:val="right"/>
        <w:rPr>
          <w:rFonts w:hint="default" w:ascii="仿宋" w:hAnsi="仿宋" w:eastAsia="仿宋" w:cs="Times New Roman"/>
          <w:sz w:val="24"/>
          <w:szCs w:val="24"/>
          <w:u w:val="single"/>
          <w:lang w:val="en-US" w:eastAsia="zh-CN"/>
        </w:rPr>
      </w:pP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lang w:val="zh-CN"/>
        </w:rPr>
        <w:t>合同编号：</w:t>
      </w:r>
      <w:r>
        <w:rPr>
          <w:rFonts w:hint="eastAsia" w:ascii="仿宋" w:hAnsi="仿宋" w:eastAsia="仿宋" w:cs="Times New Roman"/>
          <w:sz w:val="24"/>
          <w:szCs w:val="24"/>
          <w:u w:val="single"/>
          <w:lang w:val="en-US" w:eastAsia="zh-CN"/>
        </w:rPr>
        <w:t xml:space="preserve">           </w:t>
      </w:r>
    </w:p>
    <w:p w14:paraId="39977414">
      <w:pPr>
        <w:autoSpaceDE w:val="0"/>
        <w:autoSpaceDN w:val="0"/>
        <w:spacing w:line="360" w:lineRule="auto"/>
        <w:rPr>
          <w:rFonts w:hint="default" w:ascii="仿宋" w:hAnsi="仿宋" w:eastAsia="仿宋" w:cs="Times New Roman"/>
          <w:sz w:val="24"/>
          <w:szCs w:val="24"/>
          <w:lang w:val="en-US" w:eastAsia="zh-CN"/>
        </w:rPr>
      </w:pPr>
      <w:r>
        <w:rPr>
          <w:rFonts w:hint="eastAsia" w:ascii="仿宋" w:hAnsi="仿宋" w:eastAsia="仿宋" w:cs="Times New Roman"/>
          <w:sz w:val="24"/>
          <w:szCs w:val="24"/>
          <w:lang w:val="zh-CN"/>
        </w:rPr>
        <w:t>甲方：</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p>
    <w:p w14:paraId="1268E045">
      <w:pPr>
        <w:autoSpaceDE w:val="0"/>
        <w:autoSpaceDN w:val="0"/>
        <w:spacing w:line="360" w:lineRule="auto"/>
        <w:rPr>
          <w:rFonts w:hint="eastAsia" w:ascii="仿宋" w:hAnsi="仿宋" w:eastAsia="仿宋" w:cs="Times New Roman"/>
          <w:sz w:val="24"/>
          <w:szCs w:val="24"/>
          <w:u w:val="single"/>
          <w:lang w:val="zh-CN"/>
        </w:rPr>
      </w:pPr>
      <w:r>
        <w:rPr>
          <w:rFonts w:hint="eastAsia" w:ascii="仿宋" w:hAnsi="仿宋" w:eastAsia="仿宋" w:cs="Times New Roman"/>
          <w:sz w:val="24"/>
          <w:szCs w:val="24"/>
          <w:lang w:val="zh-CN"/>
        </w:rPr>
        <w:t>乙方：</w:t>
      </w:r>
      <w:r>
        <w:rPr>
          <w:rFonts w:hint="eastAsia" w:ascii="仿宋" w:hAnsi="仿宋" w:eastAsia="仿宋" w:cs="Times New Roman"/>
          <w:sz w:val="24"/>
          <w:szCs w:val="24"/>
          <w:u w:val="single"/>
          <w:lang w:val="zh-CN"/>
        </w:rPr>
        <w:t xml:space="preserve"> </w:t>
      </w:r>
      <w:r>
        <w:rPr>
          <w:rFonts w:hint="eastAsia" w:ascii="仿宋" w:hAnsi="仿宋" w:eastAsia="仿宋" w:cs="Times New Roman"/>
          <w:sz w:val="24"/>
          <w:szCs w:val="24"/>
          <w:u w:val="single"/>
          <w:lang w:val="en-US" w:eastAsia="zh-CN"/>
        </w:rPr>
        <w:t xml:space="preserve">             </w:t>
      </w:r>
    </w:p>
    <w:p w14:paraId="1A984019">
      <w:pPr>
        <w:widowControl w:val="0"/>
        <w:spacing w:after="120"/>
        <w:jc w:val="both"/>
        <w:rPr>
          <w:rFonts w:hint="eastAsia" w:ascii="方正书宋简体" w:hAnsi="Times New Roman" w:eastAsia="方正书宋简体" w:cs="Times New Roman"/>
          <w:kern w:val="2"/>
          <w:sz w:val="24"/>
          <w:szCs w:val="24"/>
          <w:lang w:val="zh-CN" w:eastAsia="zh-CN" w:bidi="ar-SA"/>
        </w:rPr>
      </w:pPr>
    </w:p>
    <w:p w14:paraId="4C3285FA">
      <w:pPr>
        <w:tabs>
          <w:tab w:val="left" w:pos="126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lang w:val="zh-CN"/>
        </w:rPr>
        <w:t>为保证甲方</w:t>
      </w:r>
      <w:r>
        <w:rPr>
          <w:rFonts w:hint="eastAsia" w:ascii="仿宋" w:hAnsi="仿宋" w:eastAsia="仿宋" w:cs="Times New Roman"/>
          <w:color w:val="000000"/>
          <w:sz w:val="24"/>
          <w:szCs w:val="21"/>
          <w:u w:val="single"/>
          <w:lang w:val="en-US" w:eastAsia="zh-CN"/>
        </w:rPr>
        <w:t xml:space="preserve">              </w:t>
      </w:r>
      <w:r>
        <w:rPr>
          <w:rFonts w:hint="eastAsia" w:ascii="仿宋" w:hAnsi="仿宋" w:eastAsia="仿宋" w:cs="Times New Roman"/>
          <w:sz w:val="24"/>
          <w:szCs w:val="24"/>
        </w:rPr>
        <w:t>管材及零星配件的平稳供应，满足甲方</w:t>
      </w:r>
      <w:r>
        <w:rPr>
          <w:rFonts w:hint="eastAsia" w:ascii="仿宋" w:hAnsi="仿宋" w:eastAsia="仿宋" w:cs="Times New Roman"/>
          <w:color w:val="000000"/>
          <w:sz w:val="24"/>
          <w:szCs w:val="21"/>
          <w:u w:val="single"/>
          <w:lang w:val="en-US" w:eastAsia="zh-CN"/>
        </w:rPr>
        <w:t xml:space="preserve">         </w:t>
      </w:r>
      <w:r>
        <w:rPr>
          <w:rFonts w:hint="eastAsia" w:ascii="仿宋" w:hAnsi="仿宋" w:eastAsia="仿宋" w:cs="Times New Roman"/>
          <w:sz w:val="24"/>
          <w:szCs w:val="24"/>
        </w:rPr>
        <w:t>的</w:t>
      </w:r>
      <w:r>
        <w:rPr>
          <w:rFonts w:hint="eastAsia" w:ascii="仿宋" w:hAnsi="仿宋" w:eastAsia="仿宋" w:cs="Times New Roman"/>
          <w:sz w:val="24"/>
          <w:szCs w:val="24"/>
          <w:lang w:val="zh-CN"/>
        </w:rPr>
        <w:t>施工要求，甲乙双方拟就甲方</w:t>
      </w:r>
      <w:r>
        <w:rPr>
          <w:rFonts w:hint="eastAsia" w:ascii="仿宋" w:hAnsi="仿宋" w:eastAsia="仿宋" w:cs="Times New Roman"/>
          <w:color w:val="000000"/>
          <w:sz w:val="24"/>
          <w:szCs w:val="21"/>
          <w:u w:val="single"/>
          <w:lang w:val="en-US" w:eastAsia="zh-CN"/>
        </w:rPr>
        <w:t xml:space="preserve">       </w:t>
      </w:r>
      <w:r>
        <w:rPr>
          <w:rFonts w:hint="eastAsia" w:ascii="仿宋" w:hAnsi="仿宋" w:eastAsia="仿宋" w:cs="Times New Roman"/>
          <w:sz w:val="24"/>
          <w:szCs w:val="24"/>
        </w:rPr>
        <w:t>管材及零星配件</w:t>
      </w:r>
      <w:r>
        <w:rPr>
          <w:rFonts w:hint="eastAsia" w:ascii="仿宋" w:hAnsi="仿宋" w:eastAsia="仿宋" w:cs="Times New Roman"/>
          <w:sz w:val="24"/>
          <w:szCs w:val="24"/>
          <w:lang w:val="zh-CN"/>
        </w:rPr>
        <w:t>的需求与供应进行合作。经双方友好协商一致，特订立本合同，以资共同遵守：</w:t>
      </w:r>
    </w:p>
    <w:p w14:paraId="145FBE47">
      <w:pPr>
        <w:tabs>
          <w:tab w:val="left" w:pos="1260"/>
        </w:tabs>
        <w:autoSpaceDE w:val="0"/>
        <w:autoSpaceDN w:val="0"/>
        <w:spacing w:line="360" w:lineRule="auto"/>
        <w:ind w:firstLine="482" w:firstLineChars="200"/>
        <w:rPr>
          <w:rFonts w:hint="eastAsia" w:ascii="仿宋" w:hAnsi="仿宋" w:eastAsia="仿宋" w:cs="Times New Roman"/>
          <w:b/>
          <w:sz w:val="24"/>
          <w:szCs w:val="24"/>
          <w:lang w:val="zh-CN"/>
        </w:rPr>
      </w:pPr>
      <w:r>
        <w:rPr>
          <w:rFonts w:hint="eastAsia" w:ascii="仿宋" w:hAnsi="仿宋" w:eastAsia="仿宋" w:cs="Times New Roman"/>
          <w:b/>
          <w:sz w:val="24"/>
          <w:szCs w:val="24"/>
          <w:lang w:val="zh-CN"/>
        </w:rPr>
        <w:t>一、合同标的：</w:t>
      </w:r>
    </w:p>
    <w:p w14:paraId="1E5BC390">
      <w:pPr>
        <w:tabs>
          <w:tab w:val="left" w:pos="126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仿宋"/>
          <w:sz w:val="24"/>
          <w:szCs w:val="24"/>
          <w:lang w:val="zh-CN"/>
        </w:rPr>
        <w:t>各规格</w:t>
      </w:r>
      <w:r>
        <w:rPr>
          <w:rFonts w:hint="eastAsia" w:ascii="仿宋" w:hAnsi="仿宋" w:eastAsia="仿宋" w:cs="Times New Roman"/>
          <w:sz w:val="24"/>
          <w:szCs w:val="24"/>
        </w:rPr>
        <w:t>管材及零星配件</w:t>
      </w:r>
      <w:r>
        <w:rPr>
          <w:rFonts w:hint="eastAsia" w:ascii="仿宋" w:hAnsi="仿宋" w:eastAsia="仿宋" w:cs="仿宋"/>
          <w:sz w:val="24"/>
          <w:szCs w:val="24"/>
          <w:lang w:val="zh-CN"/>
        </w:rPr>
        <w:t>材料（</w:t>
      </w:r>
      <w:r>
        <w:rPr>
          <w:rFonts w:hint="eastAsia" w:ascii="仿宋" w:hAnsi="仿宋" w:eastAsia="仿宋" w:cs="仿宋"/>
          <w:sz w:val="24"/>
          <w:szCs w:val="24"/>
        </w:rPr>
        <w:t>产品、型号、规格、数量、金额见附件</w:t>
      </w:r>
      <w:r>
        <w:rPr>
          <w:rFonts w:hint="eastAsia" w:ascii="仿宋" w:hAnsi="仿宋" w:eastAsia="仿宋" w:cs="仿宋"/>
          <w:sz w:val="24"/>
          <w:szCs w:val="24"/>
          <w:lang w:val="zh-CN"/>
        </w:rPr>
        <w:t>）。</w:t>
      </w:r>
    </w:p>
    <w:p w14:paraId="3B235AC2">
      <w:pPr>
        <w:tabs>
          <w:tab w:val="left" w:pos="1260"/>
        </w:tabs>
        <w:autoSpaceDE w:val="0"/>
        <w:autoSpaceDN w:val="0"/>
        <w:spacing w:line="360" w:lineRule="auto"/>
        <w:ind w:firstLine="482" w:firstLineChars="200"/>
        <w:rPr>
          <w:rFonts w:hint="eastAsia" w:ascii="仿宋" w:hAnsi="仿宋" w:eastAsia="仿宋" w:cs="Times New Roman"/>
          <w:b/>
          <w:sz w:val="24"/>
          <w:szCs w:val="24"/>
          <w:lang w:val="zh-CN"/>
        </w:rPr>
      </w:pPr>
      <w:r>
        <w:rPr>
          <w:rFonts w:hint="eastAsia" w:ascii="仿宋" w:hAnsi="仿宋" w:eastAsia="仿宋" w:cs="Times New Roman"/>
          <w:b/>
          <w:sz w:val="24"/>
          <w:szCs w:val="24"/>
          <w:lang w:val="zh-CN"/>
        </w:rPr>
        <w:t>二、材料的技术要求：</w:t>
      </w:r>
    </w:p>
    <w:p w14:paraId="0BFFB140">
      <w:pPr>
        <w:tabs>
          <w:tab w:val="left" w:pos="126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lang w:val="zh-CN"/>
        </w:rPr>
        <w:t>1、乙方</w:t>
      </w:r>
      <w:r>
        <w:rPr>
          <w:rFonts w:hint="eastAsia" w:ascii="仿宋" w:hAnsi="仿宋" w:eastAsia="仿宋" w:cs="Times New Roman"/>
          <w:sz w:val="24"/>
          <w:szCs w:val="24"/>
        </w:rPr>
        <w:t>按照本合同约定的名称、品牌、规格、型号、数量供货，乙方所提供产品质量标准必达到现行国家规定标准。保证到货是全新未曾使用的产品并随货附产品合格证，产品出厂检验报告等相关资料</w:t>
      </w:r>
      <w:r>
        <w:rPr>
          <w:rFonts w:hint="eastAsia" w:ascii="仿宋" w:hAnsi="仿宋" w:eastAsia="仿宋" w:cs="Times New Roman"/>
          <w:sz w:val="24"/>
          <w:szCs w:val="24"/>
          <w:lang w:val="zh-CN"/>
        </w:rPr>
        <w:t>。</w:t>
      </w:r>
    </w:p>
    <w:p w14:paraId="02BDDBB0">
      <w:pPr>
        <w:tabs>
          <w:tab w:val="left" w:pos="1260"/>
        </w:tabs>
        <w:autoSpaceDE w:val="0"/>
        <w:autoSpaceDN w:val="0"/>
        <w:spacing w:line="360" w:lineRule="auto"/>
        <w:ind w:firstLine="480" w:firstLineChars="200"/>
        <w:rPr>
          <w:rFonts w:hint="eastAsia" w:ascii="仿宋" w:hAnsi="仿宋" w:eastAsia="仿宋" w:cs="Times New Roman"/>
          <w:sz w:val="24"/>
          <w:szCs w:val="24"/>
          <w:u w:val="single"/>
          <w:lang w:val="zh-CN"/>
        </w:rPr>
      </w:pPr>
      <w:r>
        <w:rPr>
          <w:rFonts w:hint="eastAsia" w:ascii="仿宋" w:hAnsi="仿宋" w:eastAsia="仿宋" w:cs="Times New Roman"/>
          <w:sz w:val="24"/>
          <w:szCs w:val="24"/>
        </w:rPr>
        <w:t>产品具体要求：</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p>
    <w:p w14:paraId="28E77425">
      <w:pPr>
        <w:numPr>
          <w:ilvl w:val="0"/>
          <w:numId w:val="3"/>
        </w:numPr>
        <w:tabs>
          <w:tab w:val="left" w:pos="1260"/>
        </w:tabs>
        <w:autoSpaceDE w:val="0"/>
        <w:autoSpaceDN w:val="0"/>
        <w:spacing w:line="360" w:lineRule="auto"/>
        <w:ind w:firstLine="482" w:firstLineChars="200"/>
        <w:rPr>
          <w:rFonts w:hint="eastAsia" w:ascii="仿宋" w:hAnsi="仿宋" w:eastAsia="仿宋" w:cs="Times New Roman"/>
          <w:b/>
          <w:sz w:val="24"/>
          <w:szCs w:val="24"/>
          <w:lang w:val="zh-CN"/>
        </w:rPr>
      </w:pPr>
      <w:r>
        <w:rPr>
          <w:rFonts w:hint="eastAsia" w:ascii="仿宋" w:hAnsi="仿宋" w:eastAsia="仿宋" w:cs="Times New Roman"/>
          <w:b/>
          <w:sz w:val="24"/>
          <w:szCs w:val="24"/>
          <w:lang w:val="zh-CN"/>
        </w:rPr>
        <w:t>项目需求情况：</w:t>
      </w:r>
    </w:p>
    <w:tbl>
      <w:tblPr>
        <w:tblStyle w:val="8"/>
        <w:tblW w:w="10215" w:type="dxa"/>
        <w:tblInd w:w="-341" w:type="dxa"/>
        <w:tblLayout w:type="fixed"/>
        <w:tblCellMar>
          <w:top w:w="0" w:type="dxa"/>
          <w:left w:w="108" w:type="dxa"/>
          <w:bottom w:w="0" w:type="dxa"/>
          <w:right w:w="108" w:type="dxa"/>
        </w:tblCellMar>
      </w:tblPr>
      <w:tblGrid>
        <w:gridCol w:w="660"/>
        <w:gridCol w:w="2925"/>
        <w:gridCol w:w="1515"/>
        <w:gridCol w:w="594"/>
        <w:gridCol w:w="992"/>
        <w:gridCol w:w="1276"/>
        <w:gridCol w:w="1683"/>
        <w:gridCol w:w="570"/>
      </w:tblGrid>
      <w:tr w14:paraId="085B658E">
        <w:tblPrEx>
          <w:tblCellMar>
            <w:top w:w="0" w:type="dxa"/>
            <w:left w:w="108" w:type="dxa"/>
            <w:bottom w:w="0" w:type="dxa"/>
            <w:right w:w="108" w:type="dxa"/>
          </w:tblCellMar>
        </w:tblPrEx>
        <w:trPr>
          <w:trHeight w:val="68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21DBDF48">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序号</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57C903C2">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产品名称</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4BA1CB9F">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规格或型号</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3DA82D80">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单位</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B9D4E11">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需求数量</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AA59234">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不含增值税单价（元）</w:t>
            </w: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1CE382C8">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不含增值税金额（元）</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0C77958">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备注</w:t>
            </w:r>
          </w:p>
        </w:tc>
      </w:tr>
      <w:tr w14:paraId="2C2E2119">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46A30917">
            <w:pPr>
              <w:jc w:val="center"/>
              <w:rPr>
                <w:rFonts w:hint="eastAsia" w:ascii="Times New Roman" w:hAnsi="Times New Roman" w:eastAsia="宋体" w:cs="Times New Roman"/>
                <w:szCs w:val="21"/>
              </w:rPr>
            </w:pPr>
            <w:r>
              <w:rPr>
                <w:rFonts w:hint="eastAsia" w:ascii="Times New Roman" w:hAnsi="Times New Roman" w:eastAsia="宋体" w:cs="Times New Roman"/>
                <w:szCs w:val="21"/>
              </w:rPr>
              <w:t>1</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00C7DF4D">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聚乙烯PE100管</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60384E39">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DN315 1.6Mpa</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6EDA200E">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m</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06D4322">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96</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0307C36">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3E6D0B9C">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1C32428">
            <w:pPr>
              <w:widowControl/>
              <w:jc w:val="center"/>
              <w:textAlignment w:val="center"/>
              <w:rPr>
                <w:rFonts w:hint="eastAsia" w:ascii="仿宋" w:hAnsi="仿宋" w:eastAsia="仿宋" w:cs="仿宋"/>
                <w:b/>
                <w:bCs/>
                <w:color w:val="000000"/>
                <w:kern w:val="0"/>
                <w:sz w:val="24"/>
                <w:szCs w:val="24"/>
                <w:lang w:bidi="ar"/>
              </w:rPr>
            </w:pPr>
          </w:p>
        </w:tc>
      </w:tr>
      <w:tr w14:paraId="46CD928A">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54B81BD9">
            <w:pPr>
              <w:jc w:val="center"/>
              <w:rPr>
                <w:rFonts w:hint="eastAsia" w:ascii="Times New Roman" w:hAnsi="Times New Roman" w:eastAsia="宋体" w:cs="Times New Roman"/>
                <w:szCs w:val="21"/>
              </w:rPr>
            </w:pPr>
            <w:r>
              <w:rPr>
                <w:rFonts w:hint="eastAsia" w:ascii="Times New Roman" w:hAnsi="Times New Roman" w:eastAsia="宋体" w:cs="Times New Roman"/>
                <w:szCs w:val="21"/>
              </w:rPr>
              <w:t>2</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37478A46">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聚乙烯PE100管</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6EBA4A46">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DN400 1.6Mpa</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453C1047">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m</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11EA39C">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168</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A7915F8">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0E6EF594">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F190C9C">
            <w:pPr>
              <w:widowControl/>
              <w:jc w:val="center"/>
              <w:textAlignment w:val="center"/>
              <w:rPr>
                <w:rFonts w:hint="eastAsia" w:ascii="仿宋" w:hAnsi="仿宋" w:eastAsia="仿宋" w:cs="仿宋"/>
                <w:b/>
                <w:bCs/>
                <w:color w:val="000000"/>
                <w:kern w:val="0"/>
                <w:sz w:val="24"/>
                <w:szCs w:val="24"/>
                <w:lang w:bidi="ar"/>
              </w:rPr>
            </w:pPr>
          </w:p>
        </w:tc>
      </w:tr>
      <w:tr w14:paraId="524B4701">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01787B0D">
            <w:pPr>
              <w:jc w:val="center"/>
              <w:rPr>
                <w:rFonts w:hint="eastAsia" w:ascii="Times New Roman" w:hAnsi="Times New Roman" w:eastAsia="宋体" w:cs="Times New Roman"/>
                <w:szCs w:val="21"/>
              </w:rPr>
            </w:pPr>
            <w:r>
              <w:rPr>
                <w:rFonts w:hint="eastAsia" w:ascii="Times New Roman" w:hAnsi="Times New Roman" w:eastAsia="宋体" w:cs="Times New Roman"/>
                <w:szCs w:val="21"/>
              </w:rPr>
              <w:t>3</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251FDED7">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聚乙烯PE100管</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1A2363C3">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DN450 1.6Mpa</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5BDCC921">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m</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FF9A398">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630</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8FDCAFA">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4735A294">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925301A">
            <w:pPr>
              <w:widowControl/>
              <w:jc w:val="center"/>
              <w:textAlignment w:val="center"/>
              <w:rPr>
                <w:rFonts w:hint="eastAsia" w:ascii="仿宋" w:hAnsi="仿宋" w:eastAsia="仿宋" w:cs="仿宋"/>
                <w:b/>
                <w:bCs/>
                <w:color w:val="000000"/>
                <w:kern w:val="0"/>
                <w:sz w:val="24"/>
                <w:szCs w:val="24"/>
                <w:lang w:bidi="ar"/>
              </w:rPr>
            </w:pPr>
          </w:p>
        </w:tc>
      </w:tr>
      <w:tr w14:paraId="515A78FD">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3A5B0B7C">
            <w:pPr>
              <w:jc w:val="center"/>
              <w:rPr>
                <w:rFonts w:hint="eastAsia" w:ascii="Times New Roman" w:hAnsi="Times New Roman" w:eastAsia="宋体" w:cs="Times New Roman"/>
                <w:szCs w:val="21"/>
              </w:rPr>
            </w:pPr>
            <w:r>
              <w:rPr>
                <w:rFonts w:hint="eastAsia" w:ascii="Times New Roman" w:hAnsi="Times New Roman" w:eastAsia="宋体" w:cs="Times New Roman"/>
                <w:szCs w:val="21"/>
              </w:rPr>
              <w:t>4</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72EA1FC5">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聚乙烯PE100管</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01EDC62F">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DN500 1.6Mpa</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334368AF">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m</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9D4C811">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42</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74AC2D8">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23631CBF">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2B3AFCA">
            <w:pPr>
              <w:widowControl/>
              <w:jc w:val="center"/>
              <w:textAlignment w:val="center"/>
              <w:rPr>
                <w:rFonts w:hint="eastAsia" w:ascii="仿宋" w:hAnsi="仿宋" w:eastAsia="仿宋" w:cs="仿宋"/>
                <w:b/>
                <w:bCs/>
                <w:color w:val="000000"/>
                <w:kern w:val="0"/>
                <w:sz w:val="24"/>
                <w:szCs w:val="24"/>
                <w:lang w:bidi="ar"/>
              </w:rPr>
            </w:pPr>
          </w:p>
        </w:tc>
      </w:tr>
      <w:tr w14:paraId="3A3F3375">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406DC477">
            <w:pPr>
              <w:jc w:val="center"/>
              <w:rPr>
                <w:rFonts w:hint="eastAsia" w:ascii="Times New Roman" w:hAnsi="Times New Roman" w:eastAsia="宋体" w:cs="Times New Roman"/>
                <w:szCs w:val="21"/>
              </w:rPr>
            </w:pPr>
            <w:r>
              <w:rPr>
                <w:rFonts w:hint="eastAsia" w:ascii="Times New Roman" w:hAnsi="Times New Roman" w:eastAsia="宋体" w:cs="Times New Roman"/>
                <w:szCs w:val="21"/>
              </w:rPr>
              <w:t>5</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7EFD7B9A">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聚乙烯PE100管</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130C6C5C">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DN630 1.6Mpa</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6C9A62B4">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m</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527879B">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1050</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A80988B">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7DEF5E43">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CA06D6D">
            <w:pPr>
              <w:widowControl/>
              <w:jc w:val="center"/>
              <w:textAlignment w:val="center"/>
              <w:rPr>
                <w:rFonts w:hint="eastAsia" w:ascii="仿宋" w:hAnsi="仿宋" w:eastAsia="仿宋" w:cs="仿宋"/>
                <w:b/>
                <w:bCs/>
                <w:color w:val="000000"/>
                <w:kern w:val="0"/>
                <w:sz w:val="24"/>
                <w:szCs w:val="24"/>
                <w:lang w:bidi="ar"/>
              </w:rPr>
            </w:pPr>
          </w:p>
        </w:tc>
      </w:tr>
      <w:tr w14:paraId="5641EFFA">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6F986BCC">
            <w:pPr>
              <w:jc w:val="center"/>
              <w:rPr>
                <w:rFonts w:hint="eastAsia" w:ascii="Times New Roman" w:hAnsi="Times New Roman" w:eastAsia="宋体" w:cs="Times New Roman"/>
                <w:szCs w:val="21"/>
              </w:rPr>
            </w:pPr>
            <w:r>
              <w:rPr>
                <w:rFonts w:hint="eastAsia" w:ascii="Times New Roman" w:hAnsi="Times New Roman" w:eastAsia="宋体" w:cs="Times New Roman"/>
                <w:szCs w:val="21"/>
              </w:rPr>
              <w:t>6</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5A931CF3">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高筋(PP)增强聚乙烯缠绕管</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21BEF335">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SN8 DN200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048FEDAF">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m</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8B5B289">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48</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A3DE1D4">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632B9C64">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462F23F">
            <w:pPr>
              <w:widowControl/>
              <w:jc w:val="center"/>
              <w:textAlignment w:val="center"/>
              <w:rPr>
                <w:rFonts w:hint="eastAsia" w:ascii="仿宋" w:hAnsi="仿宋" w:eastAsia="仿宋" w:cs="仿宋"/>
                <w:b/>
                <w:bCs/>
                <w:color w:val="000000"/>
                <w:kern w:val="0"/>
                <w:sz w:val="24"/>
                <w:szCs w:val="24"/>
                <w:lang w:bidi="ar"/>
              </w:rPr>
            </w:pPr>
          </w:p>
        </w:tc>
      </w:tr>
      <w:tr w14:paraId="5A08FDD0">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11AA6149">
            <w:pPr>
              <w:jc w:val="center"/>
              <w:rPr>
                <w:rFonts w:hint="eastAsia" w:ascii="Times New Roman" w:hAnsi="Times New Roman" w:eastAsia="宋体" w:cs="Times New Roman"/>
                <w:szCs w:val="21"/>
              </w:rPr>
            </w:pPr>
            <w:r>
              <w:rPr>
                <w:rFonts w:hint="eastAsia" w:ascii="Times New Roman" w:hAnsi="Times New Roman" w:eastAsia="宋体" w:cs="Times New Roman"/>
                <w:szCs w:val="21"/>
              </w:rPr>
              <w:t>7</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65C93A0F">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高筋(PP)增强聚乙烯缠绕管</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61E70F4F">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SN8 DN300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08D5E366">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m</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A15EE97">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8130</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2ABF2D00">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04AA1ECB">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982330A">
            <w:pPr>
              <w:widowControl/>
              <w:jc w:val="center"/>
              <w:textAlignment w:val="center"/>
              <w:rPr>
                <w:rFonts w:hint="eastAsia" w:ascii="仿宋" w:hAnsi="仿宋" w:eastAsia="仿宋" w:cs="仿宋"/>
                <w:b/>
                <w:bCs/>
                <w:color w:val="000000"/>
                <w:kern w:val="0"/>
                <w:sz w:val="24"/>
                <w:szCs w:val="24"/>
                <w:lang w:bidi="ar"/>
              </w:rPr>
            </w:pPr>
          </w:p>
        </w:tc>
      </w:tr>
      <w:tr w14:paraId="391704CE">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163FF646">
            <w:pPr>
              <w:jc w:val="center"/>
              <w:rPr>
                <w:rFonts w:hint="eastAsia" w:ascii="Times New Roman" w:hAnsi="Times New Roman" w:eastAsia="宋体" w:cs="Times New Roman"/>
                <w:szCs w:val="21"/>
              </w:rPr>
            </w:pPr>
            <w:r>
              <w:rPr>
                <w:rFonts w:hint="eastAsia" w:ascii="Times New Roman" w:hAnsi="Times New Roman" w:eastAsia="宋体" w:cs="Times New Roman"/>
                <w:szCs w:val="21"/>
              </w:rPr>
              <w:t>8</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650BE8CD">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高筋(PP)增强聚乙烯缠绕管</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5A2DDBD8">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SN8 DN400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5BB4508F">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m</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485B935">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9624</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6BB948C">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61DE68A7">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BBB34EB">
            <w:pPr>
              <w:widowControl/>
              <w:jc w:val="center"/>
              <w:textAlignment w:val="center"/>
              <w:rPr>
                <w:rFonts w:hint="eastAsia" w:ascii="仿宋" w:hAnsi="仿宋" w:eastAsia="仿宋" w:cs="仿宋"/>
                <w:b/>
                <w:bCs/>
                <w:color w:val="000000"/>
                <w:kern w:val="0"/>
                <w:sz w:val="24"/>
                <w:szCs w:val="24"/>
                <w:lang w:bidi="ar"/>
              </w:rPr>
            </w:pPr>
          </w:p>
        </w:tc>
      </w:tr>
      <w:tr w14:paraId="05B2D617">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1336C1AF">
            <w:pPr>
              <w:jc w:val="center"/>
              <w:rPr>
                <w:rFonts w:hint="eastAsia" w:ascii="Times New Roman" w:hAnsi="Times New Roman" w:eastAsia="宋体" w:cs="Times New Roman"/>
                <w:szCs w:val="21"/>
              </w:rPr>
            </w:pPr>
            <w:r>
              <w:rPr>
                <w:rFonts w:hint="eastAsia" w:ascii="Times New Roman" w:hAnsi="Times New Roman" w:eastAsia="宋体" w:cs="Times New Roman"/>
                <w:szCs w:val="21"/>
              </w:rPr>
              <w:t>9</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7C0AB3F3">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高筋(PP)增强聚乙烯缠绕管</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2E0DA23A">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SN8 DN500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09FD4767">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m</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FA3BFE5">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1020</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09B4A00">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52ED3777">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FA94121">
            <w:pPr>
              <w:widowControl/>
              <w:jc w:val="center"/>
              <w:textAlignment w:val="center"/>
              <w:rPr>
                <w:rFonts w:hint="eastAsia" w:ascii="仿宋" w:hAnsi="仿宋" w:eastAsia="仿宋" w:cs="仿宋"/>
                <w:b/>
                <w:bCs/>
                <w:color w:val="000000"/>
                <w:kern w:val="0"/>
                <w:sz w:val="24"/>
                <w:szCs w:val="24"/>
                <w:lang w:bidi="ar"/>
              </w:rPr>
            </w:pPr>
          </w:p>
        </w:tc>
      </w:tr>
      <w:tr w14:paraId="7786DA58">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24505615">
            <w:pPr>
              <w:jc w:val="center"/>
              <w:rPr>
                <w:rFonts w:hint="eastAsia" w:ascii="Times New Roman" w:hAnsi="Times New Roman" w:eastAsia="宋体" w:cs="Times New Roman"/>
                <w:szCs w:val="21"/>
              </w:rPr>
            </w:pPr>
            <w:r>
              <w:rPr>
                <w:rFonts w:hint="eastAsia" w:ascii="Times New Roman" w:hAnsi="Times New Roman" w:eastAsia="宋体" w:cs="Times New Roman"/>
                <w:szCs w:val="21"/>
              </w:rPr>
              <w:t>10</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22DAA260">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高筋(PP)增强聚乙烯缠绕管</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62D69A66">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SN8 DN600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613EFB3F">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m</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F93BF8B">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460</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839CCA7">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74488672">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2800BB4">
            <w:pPr>
              <w:widowControl/>
              <w:jc w:val="center"/>
              <w:textAlignment w:val="center"/>
              <w:rPr>
                <w:rFonts w:hint="eastAsia" w:ascii="仿宋" w:hAnsi="仿宋" w:eastAsia="仿宋" w:cs="仿宋"/>
                <w:b/>
                <w:bCs/>
                <w:color w:val="000000"/>
                <w:kern w:val="0"/>
                <w:sz w:val="24"/>
                <w:szCs w:val="24"/>
                <w:lang w:bidi="ar"/>
              </w:rPr>
            </w:pPr>
          </w:p>
        </w:tc>
      </w:tr>
      <w:tr w14:paraId="2B376C30">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3C0A2CF7">
            <w:pPr>
              <w:jc w:val="center"/>
              <w:rPr>
                <w:rFonts w:hint="eastAsia" w:ascii="Times New Roman" w:hAnsi="Times New Roman" w:eastAsia="宋体" w:cs="Times New Roman"/>
                <w:szCs w:val="21"/>
              </w:rPr>
            </w:pPr>
            <w:r>
              <w:rPr>
                <w:rFonts w:hint="eastAsia" w:ascii="Times New Roman" w:hAnsi="Times New Roman" w:eastAsia="宋体" w:cs="Times New Roman"/>
                <w:szCs w:val="21"/>
              </w:rPr>
              <w:t>11</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541DA756">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高筋(PP)增强聚乙稀缠绕管 SN8胶圈</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2DA35DEC">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Dn200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2F960BD6">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个</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9A94BE2">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7</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E6E7320">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3A1618DF">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5E4E7D2">
            <w:pPr>
              <w:widowControl/>
              <w:jc w:val="center"/>
              <w:textAlignment w:val="center"/>
              <w:rPr>
                <w:rFonts w:hint="eastAsia" w:ascii="仿宋" w:hAnsi="仿宋" w:eastAsia="仿宋" w:cs="仿宋"/>
                <w:b/>
                <w:bCs/>
                <w:color w:val="000000"/>
                <w:kern w:val="0"/>
                <w:sz w:val="24"/>
                <w:szCs w:val="24"/>
                <w:lang w:bidi="ar"/>
              </w:rPr>
            </w:pPr>
          </w:p>
        </w:tc>
      </w:tr>
      <w:tr w14:paraId="0880CF65">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5B45805B">
            <w:pPr>
              <w:jc w:val="center"/>
              <w:rPr>
                <w:rFonts w:hint="eastAsia" w:ascii="Times New Roman" w:hAnsi="Times New Roman" w:eastAsia="宋体" w:cs="Times New Roman"/>
                <w:szCs w:val="21"/>
              </w:rPr>
            </w:pPr>
            <w:r>
              <w:rPr>
                <w:rFonts w:hint="eastAsia" w:ascii="Times New Roman" w:hAnsi="Times New Roman" w:eastAsia="宋体" w:cs="Times New Roman"/>
                <w:szCs w:val="21"/>
              </w:rPr>
              <w:t>12</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6E66B812">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高筋(PP)增强聚乙稀缠绕管 SN8胶圈</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0E9C01F8">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Dn300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639E9C8A">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个</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487A3F3">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1190</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339BD54">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29540806">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22F5BC1">
            <w:pPr>
              <w:widowControl/>
              <w:jc w:val="center"/>
              <w:textAlignment w:val="center"/>
              <w:rPr>
                <w:rFonts w:hint="eastAsia" w:ascii="仿宋" w:hAnsi="仿宋" w:eastAsia="仿宋" w:cs="仿宋"/>
                <w:b/>
                <w:bCs/>
                <w:color w:val="000000"/>
                <w:kern w:val="0"/>
                <w:sz w:val="24"/>
                <w:szCs w:val="24"/>
                <w:lang w:bidi="ar"/>
              </w:rPr>
            </w:pPr>
          </w:p>
        </w:tc>
      </w:tr>
      <w:tr w14:paraId="41F0ED8E">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1107EF17">
            <w:pPr>
              <w:jc w:val="center"/>
              <w:rPr>
                <w:rFonts w:hint="eastAsia" w:ascii="Times New Roman" w:hAnsi="Times New Roman" w:eastAsia="宋体" w:cs="Times New Roman"/>
                <w:szCs w:val="21"/>
              </w:rPr>
            </w:pPr>
            <w:r>
              <w:rPr>
                <w:rFonts w:hint="eastAsia" w:ascii="Times New Roman" w:hAnsi="Times New Roman" w:eastAsia="宋体" w:cs="Times New Roman"/>
                <w:szCs w:val="21"/>
              </w:rPr>
              <w:t>13</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352595B9">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高筋(PP)增强聚乙稀缠绕管 SN8胶圈</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030F6240">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Dn400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6C39872F">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个</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94A38C5">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1411</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F2DF9DA">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14188C7C">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7B3EB0D">
            <w:pPr>
              <w:widowControl/>
              <w:jc w:val="center"/>
              <w:textAlignment w:val="center"/>
              <w:rPr>
                <w:rFonts w:hint="eastAsia" w:ascii="仿宋" w:hAnsi="仿宋" w:eastAsia="仿宋" w:cs="仿宋"/>
                <w:b/>
                <w:bCs/>
                <w:color w:val="000000"/>
                <w:kern w:val="0"/>
                <w:sz w:val="24"/>
                <w:szCs w:val="24"/>
                <w:lang w:bidi="ar"/>
              </w:rPr>
            </w:pPr>
          </w:p>
        </w:tc>
      </w:tr>
      <w:tr w14:paraId="7B580CD7">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6A644864">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14</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635FC5E3">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高筋(PP)增强聚乙稀缠绕管 SN8胶圈</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7AF2FAA4">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Dn500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326A2517">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个</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89A123A">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140</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B8F6551">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28389D10">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11302F8">
            <w:pPr>
              <w:widowControl/>
              <w:jc w:val="center"/>
              <w:textAlignment w:val="center"/>
              <w:rPr>
                <w:rFonts w:hint="eastAsia" w:ascii="仿宋" w:hAnsi="仿宋" w:eastAsia="仿宋" w:cs="仿宋"/>
                <w:b/>
                <w:bCs/>
                <w:color w:val="000000"/>
                <w:kern w:val="0"/>
                <w:sz w:val="24"/>
                <w:szCs w:val="24"/>
                <w:lang w:bidi="ar"/>
              </w:rPr>
            </w:pPr>
          </w:p>
        </w:tc>
      </w:tr>
      <w:tr w14:paraId="24A124CB">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19B8B52F">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15</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4E21C3D4">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高筋(PP)增强聚乙稀缠绕管 SN8胶圈</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19D090A6">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Dn600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1F1DA0D6">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个</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95FF161">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65</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790828E">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1B1B25E4">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3A75B3C">
            <w:pPr>
              <w:widowControl/>
              <w:jc w:val="center"/>
              <w:textAlignment w:val="center"/>
              <w:rPr>
                <w:rFonts w:hint="eastAsia" w:ascii="仿宋" w:hAnsi="仿宋" w:eastAsia="仿宋" w:cs="仿宋"/>
                <w:b/>
                <w:bCs/>
                <w:color w:val="000000"/>
                <w:kern w:val="0"/>
                <w:sz w:val="24"/>
                <w:szCs w:val="24"/>
                <w:lang w:bidi="ar"/>
              </w:rPr>
            </w:pPr>
          </w:p>
        </w:tc>
      </w:tr>
      <w:tr w14:paraId="523AA2F0">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29386882">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16</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2B962657">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UPVC排水管</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480EA96D">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dn160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608E61F4">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m</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3EABE36">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7038</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459FD35">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638C0A7F">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01E6060">
            <w:pPr>
              <w:widowControl/>
              <w:jc w:val="center"/>
              <w:textAlignment w:val="center"/>
              <w:rPr>
                <w:rFonts w:hint="eastAsia" w:ascii="仿宋" w:hAnsi="仿宋" w:eastAsia="仿宋" w:cs="仿宋"/>
                <w:b/>
                <w:bCs/>
                <w:color w:val="000000"/>
                <w:kern w:val="0"/>
                <w:sz w:val="24"/>
                <w:szCs w:val="24"/>
                <w:lang w:bidi="ar"/>
              </w:rPr>
            </w:pPr>
          </w:p>
        </w:tc>
      </w:tr>
      <w:tr w14:paraId="73DBA8C7">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5A5501B7">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17</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72DFE438">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UPVC排水管</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720AE2F7">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dn200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04E49228">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m</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F2DFBE7">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6948</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5B18F4AD">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26E5BA5A">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A769D61">
            <w:pPr>
              <w:widowControl/>
              <w:jc w:val="center"/>
              <w:textAlignment w:val="center"/>
              <w:rPr>
                <w:rFonts w:hint="eastAsia" w:ascii="仿宋" w:hAnsi="仿宋" w:eastAsia="仿宋" w:cs="仿宋"/>
                <w:b/>
                <w:bCs/>
                <w:color w:val="000000"/>
                <w:kern w:val="0"/>
                <w:sz w:val="24"/>
                <w:szCs w:val="24"/>
                <w:lang w:bidi="ar"/>
              </w:rPr>
            </w:pPr>
          </w:p>
        </w:tc>
      </w:tr>
      <w:tr w14:paraId="177A42F9">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724D5BF1">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18</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76FD32CE">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直通</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6F147EB0">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160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18601952">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个</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0CABBA5">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1750</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4D7094DA">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2D4DACDF">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F411CB9">
            <w:pPr>
              <w:widowControl/>
              <w:jc w:val="center"/>
              <w:textAlignment w:val="center"/>
              <w:rPr>
                <w:rFonts w:hint="eastAsia" w:ascii="仿宋" w:hAnsi="仿宋" w:eastAsia="仿宋" w:cs="仿宋"/>
                <w:b/>
                <w:bCs/>
                <w:color w:val="000000"/>
                <w:kern w:val="0"/>
                <w:sz w:val="24"/>
                <w:szCs w:val="24"/>
                <w:lang w:bidi="ar"/>
              </w:rPr>
            </w:pPr>
          </w:p>
        </w:tc>
      </w:tr>
      <w:tr w14:paraId="7301CE82">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400BDB02">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19</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7257BBA7">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三通</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73AC94CD">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160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5B27777D">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个</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A626C1B">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878</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22DBAF6">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6ACB6AA6">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D9F20D8">
            <w:pPr>
              <w:widowControl/>
              <w:jc w:val="center"/>
              <w:textAlignment w:val="center"/>
              <w:rPr>
                <w:rFonts w:hint="eastAsia" w:ascii="仿宋" w:hAnsi="仿宋" w:eastAsia="仿宋" w:cs="仿宋"/>
                <w:b/>
                <w:bCs/>
                <w:color w:val="000000"/>
                <w:kern w:val="0"/>
                <w:sz w:val="24"/>
                <w:szCs w:val="24"/>
                <w:lang w:bidi="ar"/>
              </w:rPr>
            </w:pPr>
          </w:p>
        </w:tc>
      </w:tr>
      <w:tr w14:paraId="5596ADAD">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753B175C">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20</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28D4D089">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90°弯头</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6389EC92">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160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145C69E3">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个</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2720071">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703</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53C999B0">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1AB546D1">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AEB2A80">
            <w:pPr>
              <w:widowControl/>
              <w:jc w:val="center"/>
              <w:textAlignment w:val="center"/>
              <w:rPr>
                <w:rFonts w:hint="eastAsia" w:ascii="仿宋" w:hAnsi="仿宋" w:eastAsia="仿宋" w:cs="仿宋"/>
                <w:b/>
                <w:bCs/>
                <w:color w:val="000000"/>
                <w:kern w:val="0"/>
                <w:sz w:val="24"/>
                <w:szCs w:val="24"/>
                <w:lang w:bidi="ar"/>
              </w:rPr>
            </w:pPr>
          </w:p>
        </w:tc>
      </w:tr>
      <w:tr w14:paraId="035081F5">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16A93B39">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21</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450CADC5">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直通</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76C898B8">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200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40D4563B">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个</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55CFA0F">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1738</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22A269C">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424FE299">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7FF4AAE3">
            <w:pPr>
              <w:widowControl/>
              <w:jc w:val="center"/>
              <w:textAlignment w:val="center"/>
              <w:rPr>
                <w:rFonts w:hint="eastAsia" w:ascii="仿宋" w:hAnsi="仿宋" w:eastAsia="仿宋" w:cs="仿宋"/>
                <w:b/>
                <w:bCs/>
                <w:color w:val="000000"/>
                <w:kern w:val="0"/>
                <w:sz w:val="24"/>
                <w:szCs w:val="24"/>
                <w:lang w:bidi="ar"/>
              </w:rPr>
            </w:pPr>
          </w:p>
        </w:tc>
      </w:tr>
      <w:tr w14:paraId="18962E9B">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5B28080F">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22</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4DDC23BF">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三通</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1F3E2704">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200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06D760DC">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个</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0FE5114">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869</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259A65D">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6C6B39CA">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96DF4F1">
            <w:pPr>
              <w:widowControl/>
              <w:jc w:val="center"/>
              <w:textAlignment w:val="center"/>
              <w:rPr>
                <w:rFonts w:hint="eastAsia" w:ascii="仿宋" w:hAnsi="仿宋" w:eastAsia="仿宋" w:cs="仿宋"/>
                <w:b/>
                <w:bCs/>
                <w:color w:val="000000"/>
                <w:kern w:val="0"/>
                <w:sz w:val="24"/>
                <w:szCs w:val="24"/>
                <w:lang w:bidi="ar"/>
              </w:rPr>
            </w:pPr>
          </w:p>
        </w:tc>
      </w:tr>
      <w:tr w14:paraId="2948D117">
        <w:tblPrEx>
          <w:tblCellMar>
            <w:top w:w="0" w:type="dxa"/>
            <w:left w:w="108" w:type="dxa"/>
            <w:bottom w:w="0" w:type="dxa"/>
            <w:right w:w="108" w:type="dxa"/>
          </w:tblCellMar>
        </w:tblPrEx>
        <w:trPr>
          <w:trHeight w:val="510" w:hRule="atLeast"/>
          <w:tblHeader/>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64CDFCBB">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23</w:t>
            </w:r>
          </w:p>
        </w:tc>
        <w:tc>
          <w:tcPr>
            <w:tcW w:w="2925" w:type="dxa"/>
            <w:tcBorders>
              <w:top w:val="single" w:color="000000" w:sz="4" w:space="0"/>
              <w:left w:val="single" w:color="000000" w:sz="4" w:space="0"/>
              <w:bottom w:val="single" w:color="000000" w:sz="4" w:space="0"/>
              <w:right w:val="single" w:color="000000" w:sz="4" w:space="0"/>
            </w:tcBorders>
            <w:noWrap w:val="0"/>
            <w:vAlign w:val="center"/>
          </w:tcPr>
          <w:p w14:paraId="47AB845C">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90°弯头</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02695392">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200</w:t>
            </w:r>
          </w:p>
        </w:tc>
        <w:tc>
          <w:tcPr>
            <w:tcW w:w="594" w:type="dxa"/>
            <w:tcBorders>
              <w:top w:val="single" w:color="000000" w:sz="4" w:space="0"/>
              <w:left w:val="single" w:color="000000" w:sz="4" w:space="0"/>
              <w:bottom w:val="single" w:color="000000" w:sz="4" w:space="0"/>
              <w:right w:val="single" w:color="000000" w:sz="4" w:space="0"/>
            </w:tcBorders>
            <w:noWrap w:val="0"/>
            <w:vAlign w:val="center"/>
          </w:tcPr>
          <w:p w14:paraId="5A5A98B2">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个</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4465946">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695</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F082782">
            <w:pPr>
              <w:keepNext w:val="0"/>
              <w:keepLines w:val="0"/>
              <w:widowControl/>
              <w:suppressLineNumbers w:val="0"/>
              <w:jc w:val="center"/>
              <w:textAlignment w:val="center"/>
              <w:rPr>
                <w:rFonts w:ascii="Times New Roman" w:hAnsi="Times New Roman" w:eastAsia="宋体" w:cs="Times New Roman"/>
                <w:szCs w:val="21"/>
              </w:rPr>
            </w:pPr>
          </w:p>
        </w:tc>
        <w:tc>
          <w:tcPr>
            <w:tcW w:w="1683" w:type="dxa"/>
            <w:tcBorders>
              <w:top w:val="single" w:color="000000" w:sz="4" w:space="0"/>
              <w:left w:val="single" w:color="000000" w:sz="4" w:space="0"/>
              <w:bottom w:val="single" w:color="000000" w:sz="4" w:space="0"/>
              <w:right w:val="single" w:color="000000" w:sz="4" w:space="0"/>
            </w:tcBorders>
            <w:noWrap w:val="0"/>
            <w:vAlign w:val="center"/>
          </w:tcPr>
          <w:p w14:paraId="363B4AA4">
            <w:pPr>
              <w:keepNext w:val="0"/>
              <w:keepLines w:val="0"/>
              <w:widowControl/>
              <w:suppressLineNumbers w:val="0"/>
              <w:jc w:val="center"/>
              <w:textAlignment w:val="center"/>
              <w:rPr>
                <w:rFonts w:ascii="Times New Roman" w:hAnsi="Times New Roman" w:eastAsia="宋体" w:cs="Times New Roman"/>
                <w:szCs w:val="21"/>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023055CC">
            <w:pPr>
              <w:widowControl/>
              <w:jc w:val="center"/>
              <w:textAlignment w:val="center"/>
              <w:rPr>
                <w:rFonts w:hint="eastAsia" w:ascii="仿宋" w:hAnsi="仿宋" w:eastAsia="仿宋" w:cs="仿宋"/>
                <w:b/>
                <w:bCs/>
                <w:color w:val="000000"/>
                <w:kern w:val="0"/>
                <w:sz w:val="24"/>
                <w:szCs w:val="24"/>
                <w:lang w:bidi="ar"/>
              </w:rPr>
            </w:pPr>
          </w:p>
        </w:tc>
      </w:tr>
      <w:tr w14:paraId="7A5E371D">
        <w:tblPrEx>
          <w:tblCellMar>
            <w:top w:w="0" w:type="dxa"/>
            <w:left w:w="108" w:type="dxa"/>
            <w:bottom w:w="0" w:type="dxa"/>
            <w:right w:w="108" w:type="dxa"/>
          </w:tblCellMar>
        </w:tblPrEx>
        <w:trPr>
          <w:trHeight w:val="510" w:hRule="atLeast"/>
        </w:trPr>
        <w:tc>
          <w:tcPr>
            <w:tcW w:w="7962" w:type="dxa"/>
            <w:gridSpan w:val="6"/>
            <w:tcBorders>
              <w:top w:val="single" w:color="auto" w:sz="4" w:space="0"/>
              <w:left w:val="single" w:color="auto" w:sz="4" w:space="0"/>
              <w:bottom w:val="single" w:color="auto" w:sz="4" w:space="0"/>
              <w:right w:val="single" w:color="auto" w:sz="4" w:space="0"/>
            </w:tcBorders>
            <w:noWrap/>
            <w:vAlign w:val="center"/>
          </w:tcPr>
          <w:p w14:paraId="66A44425">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合计</w:t>
            </w:r>
          </w:p>
        </w:tc>
        <w:tc>
          <w:tcPr>
            <w:tcW w:w="1683" w:type="dxa"/>
            <w:tcBorders>
              <w:top w:val="single" w:color="auto" w:sz="4" w:space="0"/>
              <w:left w:val="single" w:color="auto" w:sz="4" w:space="0"/>
              <w:bottom w:val="single" w:color="auto" w:sz="4" w:space="0"/>
              <w:right w:val="single" w:color="auto" w:sz="4" w:space="0"/>
            </w:tcBorders>
            <w:noWrap w:val="0"/>
            <w:vAlign w:val="center"/>
          </w:tcPr>
          <w:p w14:paraId="06B8B7F0">
            <w:pPr>
              <w:keepNext w:val="0"/>
              <w:keepLines w:val="0"/>
              <w:widowControl/>
              <w:suppressLineNumbers w:val="0"/>
              <w:jc w:val="center"/>
              <w:textAlignment w:val="center"/>
              <w:rPr>
                <w:rFonts w:hint="eastAsia" w:ascii="宋体" w:hAnsi="宋体" w:eastAsia="宋体" w:cs="宋体"/>
                <w:b/>
                <w:bCs/>
                <w:color w:val="000000"/>
                <w:kern w:val="0"/>
                <w:sz w:val="22"/>
                <w:szCs w:val="22"/>
              </w:rPr>
            </w:pPr>
          </w:p>
        </w:tc>
        <w:tc>
          <w:tcPr>
            <w:tcW w:w="570" w:type="dxa"/>
            <w:tcBorders>
              <w:top w:val="single" w:color="auto" w:sz="4" w:space="0"/>
              <w:left w:val="single" w:color="auto" w:sz="4" w:space="0"/>
              <w:bottom w:val="single" w:color="auto" w:sz="4" w:space="0"/>
              <w:right w:val="single" w:color="auto" w:sz="4" w:space="0"/>
            </w:tcBorders>
            <w:noWrap w:val="0"/>
            <w:vAlign w:val="center"/>
          </w:tcPr>
          <w:p w14:paraId="5A7BBBC4">
            <w:pPr>
              <w:widowControl/>
              <w:jc w:val="center"/>
              <w:rPr>
                <w:rFonts w:hint="eastAsia" w:ascii="宋体" w:hAnsi="宋体" w:eastAsia="宋体" w:cs="宋体"/>
                <w:b/>
                <w:bCs/>
                <w:color w:val="000000"/>
                <w:kern w:val="0"/>
                <w:sz w:val="22"/>
                <w:szCs w:val="22"/>
              </w:rPr>
            </w:pPr>
          </w:p>
        </w:tc>
      </w:tr>
      <w:tr w14:paraId="66F81F72">
        <w:tblPrEx>
          <w:tblCellMar>
            <w:top w:w="0" w:type="dxa"/>
            <w:left w:w="108" w:type="dxa"/>
            <w:bottom w:w="0" w:type="dxa"/>
            <w:right w:w="108" w:type="dxa"/>
          </w:tblCellMar>
        </w:tblPrEx>
        <w:trPr>
          <w:trHeight w:val="510" w:hRule="atLeast"/>
        </w:trPr>
        <w:tc>
          <w:tcPr>
            <w:tcW w:w="7962" w:type="dxa"/>
            <w:gridSpan w:val="6"/>
            <w:tcBorders>
              <w:top w:val="single" w:color="auto" w:sz="4" w:space="0"/>
              <w:left w:val="single" w:color="auto" w:sz="4" w:space="0"/>
              <w:bottom w:val="single" w:color="auto" w:sz="4" w:space="0"/>
              <w:right w:val="single" w:color="auto" w:sz="4" w:space="0"/>
            </w:tcBorders>
            <w:noWrap/>
            <w:vAlign w:val="center"/>
          </w:tcPr>
          <w:p w14:paraId="27D41281">
            <w:pPr>
              <w:widowControl/>
              <w:jc w:val="center"/>
              <w:rPr>
                <w:rFonts w:hint="eastAsia" w:ascii="宋体" w:hAnsi="宋体" w:eastAsia="宋体" w:cs="宋体"/>
                <w:b/>
                <w:bCs/>
                <w:color w:val="000000"/>
                <w:kern w:val="0"/>
                <w:sz w:val="22"/>
                <w:szCs w:val="22"/>
              </w:rPr>
            </w:pPr>
            <w:r>
              <w:rPr>
                <w:rFonts w:hint="eastAsia" w:ascii="仿宋" w:hAnsi="仿宋" w:eastAsia="仿宋" w:cs="仿宋"/>
                <w:b/>
                <w:bCs/>
                <w:color w:val="000000"/>
                <w:kern w:val="0"/>
                <w:sz w:val="24"/>
                <w:szCs w:val="24"/>
                <w:lang w:bidi="ar"/>
              </w:rPr>
              <w:t>增值税（</w:t>
            </w:r>
            <w:r>
              <w:rPr>
                <w:rFonts w:hint="eastAsia" w:ascii="仿宋" w:hAnsi="仿宋" w:eastAsia="仿宋" w:cs="仿宋"/>
                <w:b/>
                <w:bCs/>
                <w:color w:val="000000"/>
                <w:kern w:val="0"/>
                <w:sz w:val="24"/>
                <w:szCs w:val="24"/>
                <w:lang w:val="en-US" w:eastAsia="zh-CN" w:bidi="ar"/>
              </w:rPr>
              <w:t xml:space="preserve">    </w:t>
            </w:r>
            <w:r>
              <w:rPr>
                <w:rFonts w:hint="eastAsia" w:ascii="仿宋" w:hAnsi="仿宋" w:eastAsia="仿宋" w:cs="仿宋"/>
                <w:b/>
                <w:bCs/>
                <w:color w:val="000000"/>
                <w:kern w:val="0"/>
                <w:sz w:val="24"/>
                <w:szCs w:val="24"/>
                <w:lang w:bidi="ar"/>
              </w:rPr>
              <w:t>%）</w:t>
            </w:r>
          </w:p>
        </w:tc>
        <w:tc>
          <w:tcPr>
            <w:tcW w:w="1683" w:type="dxa"/>
            <w:tcBorders>
              <w:top w:val="single" w:color="auto" w:sz="4" w:space="0"/>
              <w:left w:val="single" w:color="auto" w:sz="4" w:space="0"/>
              <w:bottom w:val="single" w:color="auto" w:sz="4" w:space="0"/>
              <w:right w:val="single" w:color="auto" w:sz="4" w:space="0"/>
            </w:tcBorders>
            <w:noWrap w:val="0"/>
            <w:vAlign w:val="center"/>
          </w:tcPr>
          <w:p w14:paraId="726D9C7D">
            <w:pPr>
              <w:keepNext w:val="0"/>
              <w:keepLines w:val="0"/>
              <w:widowControl/>
              <w:suppressLineNumbers w:val="0"/>
              <w:jc w:val="center"/>
              <w:textAlignment w:val="center"/>
              <w:rPr>
                <w:rFonts w:hint="eastAsia" w:ascii="宋体" w:hAnsi="宋体" w:eastAsia="宋体" w:cs="宋体"/>
                <w:b/>
                <w:bCs/>
                <w:color w:val="000000"/>
                <w:kern w:val="0"/>
                <w:sz w:val="22"/>
                <w:szCs w:val="22"/>
              </w:rPr>
            </w:pPr>
          </w:p>
        </w:tc>
        <w:tc>
          <w:tcPr>
            <w:tcW w:w="570" w:type="dxa"/>
            <w:tcBorders>
              <w:top w:val="single" w:color="auto" w:sz="4" w:space="0"/>
              <w:left w:val="single" w:color="auto" w:sz="4" w:space="0"/>
              <w:bottom w:val="single" w:color="auto" w:sz="4" w:space="0"/>
              <w:right w:val="single" w:color="auto" w:sz="4" w:space="0"/>
            </w:tcBorders>
            <w:noWrap w:val="0"/>
            <w:vAlign w:val="center"/>
          </w:tcPr>
          <w:p w14:paraId="5A8FB9A7">
            <w:pPr>
              <w:widowControl/>
              <w:jc w:val="center"/>
              <w:rPr>
                <w:rFonts w:hint="eastAsia" w:ascii="宋体" w:hAnsi="宋体" w:eastAsia="宋体" w:cs="宋体"/>
                <w:b/>
                <w:bCs/>
                <w:color w:val="000000"/>
                <w:kern w:val="0"/>
                <w:sz w:val="22"/>
                <w:szCs w:val="22"/>
              </w:rPr>
            </w:pPr>
          </w:p>
        </w:tc>
      </w:tr>
      <w:tr w14:paraId="55F28CB4">
        <w:tblPrEx>
          <w:tblCellMar>
            <w:top w:w="0" w:type="dxa"/>
            <w:left w:w="108" w:type="dxa"/>
            <w:bottom w:w="0" w:type="dxa"/>
            <w:right w:w="108" w:type="dxa"/>
          </w:tblCellMar>
        </w:tblPrEx>
        <w:trPr>
          <w:trHeight w:val="510" w:hRule="atLeast"/>
        </w:trPr>
        <w:tc>
          <w:tcPr>
            <w:tcW w:w="7962" w:type="dxa"/>
            <w:gridSpan w:val="6"/>
            <w:tcBorders>
              <w:top w:val="single" w:color="auto" w:sz="4" w:space="0"/>
              <w:left w:val="single" w:color="auto" w:sz="4" w:space="0"/>
              <w:bottom w:val="single" w:color="auto" w:sz="4" w:space="0"/>
              <w:right w:val="single" w:color="auto" w:sz="4" w:space="0"/>
            </w:tcBorders>
            <w:noWrap/>
            <w:vAlign w:val="center"/>
          </w:tcPr>
          <w:p w14:paraId="0A0323D5">
            <w:pPr>
              <w:widowControl/>
              <w:jc w:val="center"/>
              <w:rPr>
                <w:rFonts w:hint="eastAsia" w:ascii="宋体" w:hAnsi="宋体" w:eastAsia="宋体" w:cs="宋体"/>
                <w:b/>
                <w:bCs/>
                <w:color w:val="000000"/>
                <w:kern w:val="0"/>
                <w:sz w:val="22"/>
                <w:szCs w:val="22"/>
              </w:rPr>
            </w:pPr>
            <w:r>
              <w:rPr>
                <w:rFonts w:hint="eastAsia" w:ascii="仿宋" w:hAnsi="仿宋" w:eastAsia="仿宋" w:cs="仿宋"/>
                <w:b/>
                <w:bCs/>
                <w:color w:val="000000"/>
                <w:kern w:val="0"/>
                <w:sz w:val="24"/>
                <w:szCs w:val="24"/>
                <w:lang w:bidi="ar"/>
              </w:rPr>
              <w:t>含增值税合计</w:t>
            </w:r>
          </w:p>
        </w:tc>
        <w:tc>
          <w:tcPr>
            <w:tcW w:w="1683" w:type="dxa"/>
            <w:tcBorders>
              <w:top w:val="single" w:color="auto" w:sz="4" w:space="0"/>
              <w:left w:val="single" w:color="auto" w:sz="4" w:space="0"/>
              <w:bottom w:val="single" w:color="auto" w:sz="4" w:space="0"/>
              <w:right w:val="single" w:color="auto" w:sz="4" w:space="0"/>
            </w:tcBorders>
            <w:noWrap w:val="0"/>
            <w:vAlign w:val="center"/>
          </w:tcPr>
          <w:p w14:paraId="0AF64800">
            <w:pPr>
              <w:keepNext w:val="0"/>
              <w:keepLines w:val="0"/>
              <w:widowControl/>
              <w:suppressLineNumbers w:val="0"/>
              <w:jc w:val="center"/>
              <w:textAlignment w:val="center"/>
              <w:rPr>
                <w:rFonts w:hint="eastAsia" w:ascii="宋体" w:hAnsi="宋体" w:eastAsia="宋体" w:cs="宋体"/>
                <w:b/>
                <w:bCs/>
                <w:color w:val="000000"/>
                <w:kern w:val="0"/>
                <w:sz w:val="22"/>
                <w:szCs w:val="22"/>
              </w:rPr>
            </w:pPr>
          </w:p>
        </w:tc>
        <w:tc>
          <w:tcPr>
            <w:tcW w:w="570" w:type="dxa"/>
            <w:tcBorders>
              <w:top w:val="single" w:color="auto" w:sz="4" w:space="0"/>
              <w:left w:val="single" w:color="auto" w:sz="4" w:space="0"/>
              <w:bottom w:val="single" w:color="auto" w:sz="4" w:space="0"/>
              <w:right w:val="single" w:color="auto" w:sz="4" w:space="0"/>
            </w:tcBorders>
            <w:noWrap w:val="0"/>
            <w:vAlign w:val="center"/>
          </w:tcPr>
          <w:p w14:paraId="4A24394C">
            <w:pPr>
              <w:widowControl/>
              <w:jc w:val="center"/>
              <w:rPr>
                <w:rFonts w:hint="eastAsia" w:ascii="宋体" w:hAnsi="宋体" w:eastAsia="宋体" w:cs="宋体"/>
                <w:b/>
                <w:bCs/>
                <w:color w:val="000000"/>
                <w:kern w:val="0"/>
                <w:sz w:val="22"/>
                <w:szCs w:val="22"/>
              </w:rPr>
            </w:pPr>
          </w:p>
        </w:tc>
      </w:tr>
      <w:tr w14:paraId="4F7492A1">
        <w:tblPrEx>
          <w:tblCellMar>
            <w:top w:w="0" w:type="dxa"/>
            <w:left w:w="108" w:type="dxa"/>
            <w:bottom w:w="0" w:type="dxa"/>
            <w:right w:w="108" w:type="dxa"/>
          </w:tblCellMar>
        </w:tblPrEx>
        <w:trPr>
          <w:trHeight w:val="510" w:hRule="atLeast"/>
        </w:trPr>
        <w:tc>
          <w:tcPr>
            <w:tcW w:w="10215" w:type="dxa"/>
            <w:gridSpan w:val="8"/>
            <w:tcBorders>
              <w:top w:val="single" w:color="auto" w:sz="4" w:space="0"/>
              <w:left w:val="single" w:color="auto" w:sz="4" w:space="0"/>
              <w:bottom w:val="single" w:color="auto" w:sz="4" w:space="0"/>
              <w:right w:val="single" w:color="auto" w:sz="4" w:space="0"/>
            </w:tcBorders>
            <w:noWrap/>
            <w:vAlign w:val="center"/>
          </w:tcPr>
          <w:p w14:paraId="41F43464">
            <w:pPr>
              <w:widowControl/>
              <w:jc w:val="center"/>
              <w:rPr>
                <w:rFonts w:hint="default" w:ascii="宋体" w:hAnsi="宋体" w:eastAsia="仿宋" w:cs="宋体"/>
                <w:b/>
                <w:bCs/>
                <w:color w:val="000000"/>
                <w:kern w:val="0"/>
                <w:sz w:val="22"/>
                <w:szCs w:val="22"/>
                <w:lang w:val="en-US" w:eastAsia="zh-CN"/>
              </w:rPr>
            </w:pPr>
            <w:r>
              <w:rPr>
                <w:rFonts w:hint="eastAsia" w:ascii="仿宋" w:hAnsi="仿宋" w:eastAsia="仿宋" w:cs="仿宋"/>
                <w:b/>
                <w:bCs/>
                <w:color w:val="000000"/>
                <w:kern w:val="0"/>
                <w:sz w:val="24"/>
                <w:szCs w:val="24"/>
                <w:lang w:bidi="ar"/>
              </w:rPr>
              <w:t>合计金额（大写）人民币：</w:t>
            </w:r>
            <w:r>
              <w:rPr>
                <w:rFonts w:hint="eastAsia" w:ascii="仿宋" w:hAnsi="仿宋" w:eastAsia="仿宋" w:cs="仿宋"/>
                <w:b/>
                <w:bCs/>
                <w:color w:val="000000"/>
                <w:kern w:val="0"/>
                <w:sz w:val="24"/>
                <w:szCs w:val="24"/>
                <w:lang w:val="en-US" w:eastAsia="zh-CN" w:bidi="ar"/>
              </w:rPr>
              <w:t xml:space="preserve">      </w:t>
            </w:r>
          </w:p>
        </w:tc>
      </w:tr>
      <w:tr w14:paraId="659E8809">
        <w:tblPrEx>
          <w:tblCellMar>
            <w:top w:w="0" w:type="dxa"/>
            <w:left w:w="108" w:type="dxa"/>
            <w:bottom w:w="0" w:type="dxa"/>
            <w:right w:w="108" w:type="dxa"/>
          </w:tblCellMar>
        </w:tblPrEx>
        <w:trPr>
          <w:trHeight w:val="510" w:hRule="atLeast"/>
        </w:trPr>
        <w:tc>
          <w:tcPr>
            <w:tcW w:w="10215" w:type="dxa"/>
            <w:gridSpan w:val="8"/>
            <w:tcBorders>
              <w:top w:val="single" w:color="auto" w:sz="4" w:space="0"/>
              <w:left w:val="single" w:color="auto" w:sz="4" w:space="0"/>
              <w:bottom w:val="single" w:color="auto" w:sz="4" w:space="0"/>
              <w:right w:val="single" w:color="auto" w:sz="4" w:space="0"/>
            </w:tcBorders>
            <w:noWrap/>
            <w:vAlign w:val="center"/>
          </w:tcPr>
          <w:p w14:paraId="4EC4CB16">
            <w:pPr>
              <w:widowControl/>
              <w:jc w:val="center"/>
              <w:rPr>
                <w:rFonts w:hint="eastAsia" w:ascii="宋体" w:hAnsi="宋体" w:eastAsia="宋体" w:cs="宋体"/>
                <w:b/>
                <w:bCs/>
                <w:color w:val="000000"/>
                <w:kern w:val="0"/>
                <w:sz w:val="22"/>
                <w:szCs w:val="22"/>
              </w:rPr>
            </w:pPr>
            <w:r>
              <w:rPr>
                <w:rFonts w:hint="default" w:ascii="仿宋" w:hAnsi="仿宋" w:eastAsia="仿宋" w:cs="仿宋"/>
                <w:b/>
                <w:bCs/>
                <w:color w:val="000000"/>
                <w:sz w:val="24"/>
                <w:u w:val="none"/>
                <w:lang w:bidi="ar"/>
              </w:rPr>
              <w:t>以上报为含税价格，税率为</w:t>
            </w:r>
            <w:r>
              <w:rPr>
                <w:rFonts w:hint="eastAsia" w:ascii="仿宋" w:hAnsi="仿宋" w:eastAsia="仿宋" w:cs="仿宋"/>
                <w:b/>
                <w:bCs/>
                <w:color w:val="000000"/>
                <w:sz w:val="24"/>
                <w:u w:val="none"/>
                <w:lang w:val="en-US" w:eastAsia="zh-CN" w:bidi="ar"/>
              </w:rPr>
              <w:t xml:space="preserve">    </w:t>
            </w:r>
            <w:r>
              <w:rPr>
                <w:rFonts w:hint="default" w:ascii="仿宋" w:hAnsi="仿宋" w:eastAsia="仿宋" w:cs="仿宋"/>
                <w:b/>
                <w:bCs/>
                <w:color w:val="000000"/>
                <w:sz w:val="24"/>
                <w:u w:val="none"/>
                <w:lang w:bidi="ar"/>
              </w:rPr>
              <w:t>%，开具增值税专用发票。</w:t>
            </w:r>
          </w:p>
        </w:tc>
      </w:tr>
    </w:tbl>
    <w:p w14:paraId="2A95714C">
      <w:pPr>
        <w:rPr>
          <w:rFonts w:ascii="Times New Roman" w:hAnsi="Times New Roman" w:eastAsia="宋体" w:cs="Times New Roman"/>
          <w:szCs w:val="21"/>
        </w:rPr>
      </w:pPr>
    </w:p>
    <w:p w14:paraId="5100ADC9">
      <w:pPr>
        <w:tabs>
          <w:tab w:val="left" w:pos="1260"/>
        </w:tabs>
        <w:autoSpaceDE w:val="0"/>
        <w:autoSpaceDN w:val="0"/>
        <w:rPr>
          <w:rFonts w:hint="eastAsia" w:ascii="仿宋" w:hAnsi="仿宋" w:eastAsia="仿宋" w:cs="Times New Roman"/>
          <w:sz w:val="24"/>
          <w:szCs w:val="24"/>
          <w:lang w:val="zh-CN"/>
        </w:rPr>
      </w:pPr>
    </w:p>
    <w:p w14:paraId="4D29F7F2">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 xml:space="preserve">注：1、表中所列“需求数量”为暂定数量，实际供应数量以项目部施工需求为准，当实际供应数量不足需求表中数量时，乙方不得以需求不足向甲方进行索偿。 </w:t>
      </w:r>
    </w:p>
    <w:p w14:paraId="02EE56DE">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2、合同综合单价为材料运至施工现场的交货综合单价，由出厂价（不含税）、运杂费组成，</w:t>
      </w:r>
      <w:r>
        <w:rPr>
          <w:rFonts w:ascii="仿宋" w:hAnsi="仿宋" w:eastAsia="仿宋" w:cs="Times New Roman"/>
          <w:sz w:val="24"/>
          <w:szCs w:val="24"/>
        </w:rPr>
        <w:t>包含了乙方拟获得的利润及存在的风险和</w:t>
      </w:r>
      <w:r>
        <w:rPr>
          <w:rFonts w:hint="eastAsia" w:ascii="仿宋" w:hAnsi="仿宋" w:eastAsia="仿宋" w:cs="Times New Roman"/>
          <w:sz w:val="24"/>
          <w:szCs w:val="24"/>
        </w:rPr>
        <w:t>各项</w:t>
      </w:r>
      <w:r>
        <w:rPr>
          <w:rFonts w:ascii="仿宋" w:hAnsi="仿宋" w:eastAsia="仿宋" w:cs="Times New Roman"/>
          <w:sz w:val="24"/>
          <w:szCs w:val="24"/>
        </w:rPr>
        <w:t>税金；</w:t>
      </w:r>
      <w:r>
        <w:rPr>
          <w:rFonts w:hint="eastAsia" w:ascii="仿宋" w:hAnsi="仿宋" w:eastAsia="仿宋" w:cs="Times New Roman"/>
          <w:sz w:val="24"/>
          <w:szCs w:val="24"/>
        </w:rPr>
        <w:t>本合同清单综合单价和不含增值税总价包括：管理费、利润、除增值税以外的一切税费（包括但不限于为实施本合同应缴纳的企业所得税、个人所得税、印花税、资源税 、城市维护建设税、教育费附加、地方教育附加、堤围防护费等）。</w:t>
      </w:r>
    </w:p>
    <w:p w14:paraId="5D0A7605">
      <w:pPr>
        <w:tabs>
          <w:tab w:val="left" w:pos="1260"/>
        </w:tabs>
        <w:autoSpaceDE w:val="0"/>
        <w:autoSpaceDN w:val="0"/>
        <w:spacing w:line="360" w:lineRule="auto"/>
        <w:ind w:firstLine="482" w:firstLineChars="200"/>
        <w:rPr>
          <w:rFonts w:hint="eastAsia" w:ascii="仿宋" w:hAnsi="仿宋" w:eastAsia="仿宋" w:cs="Times New Roman"/>
          <w:sz w:val="24"/>
          <w:szCs w:val="24"/>
          <w:highlight w:val="yellow"/>
          <w:lang w:val="zh-CN"/>
        </w:rPr>
      </w:pPr>
      <w:r>
        <w:rPr>
          <w:rFonts w:hint="eastAsia" w:ascii="仿宋" w:hAnsi="仿宋" w:eastAsia="仿宋" w:cs="Times New Roman"/>
          <w:b/>
          <w:sz w:val="24"/>
          <w:szCs w:val="24"/>
        </w:rPr>
        <w:t>四</w:t>
      </w:r>
      <w:r>
        <w:rPr>
          <w:rFonts w:hint="eastAsia" w:ascii="仿宋" w:hAnsi="仿宋" w:eastAsia="仿宋" w:cs="Times New Roman"/>
          <w:b/>
          <w:sz w:val="24"/>
          <w:szCs w:val="24"/>
          <w:lang w:val="zh-CN"/>
        </w:rPr>
        <w:t>、结算、支付</w:t>
      </w:r>
      <w:r>
        <w:rPr>
          <w:rFonts w:hint="eastAsia" w:ascii="仿宋" w:hAnsi="仿宋" w:eastAsia="仿宋" w:cs="Times New Roman"/>
          <w:b/>
          <w:sz w:val="24"/>
          <w:szCs w:val="24"/>
        </w:rPr>
        <w:t>及发票提供</w:t>
      </w:r>
    </w:p>
    <w:p w14:paraId="7CAAD097">
      <w:pPr>
        <w:tabs>
          <w:tab w:val="left" w:pos="1260"/>
        </w:tabs>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1、甲方对乙方每月完成的供应量进行计量结算，结算的数量以甲方确认的结算表的数量作为结算依据</w:t>
      </w:r>
      <w:r>
        <w:rPr>
          <w:rFonts w:hint="eastAsia" w:ascii="仿宋" w:hAnsi="仿宋" w:eastAsia="仿宋" w:cs="Times New Roman"/>
          <w:sz w:val="24"/>
          <w:szCs w:val="24"/>
          <w:lang w:val="zh-CN"/>
        </w:rPr>
        <w:t>。</w:t>
      </w:r>
      <w:r>
        <w:rPr>
          <w:rFonts w:hint="eastAsia" w:ascii="仿宋" w:hAnsi="仿宋" w:eastAsia="仿宋" w:cs="Times New Roman"/>
          <w:sz w:val="24"/>
          <w:szCs w:val="24"/>
        </w:rPr>
        <w:t>双方结算前，对双方签收确认的送货单进行对账，核实并确认每期结算数量后进行结算；每月材料对账根据甲乙双方材料验收人员签字的单据进行汇总，对账汇总表由甲乙双方加盖公章及签名确认。甲方签名确认为项目经理，非上述人员签字盖章的，甲方不予认可。最终结算以双方签名加盖公章的汇总表为准。</w:t>
      </w:r>
    </w:p>
    <w:p w14:paraId="1FFF650B">
      <w:pPr>
        <w:tabs>
          <w:tab w:val="left" w:pos="1260"/>
        </w:tabs>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w:t>
      </w:r>
      <w:r>
        <w:rPr>
          <w:rFonts w:hint="eastAsia" w:ascii="仿宋" w:hAnsi="仿宋" w:eastAsia="仿宋" w:cs="Times New Roman"/>
          <w:sz w:val="24"/>
          <w:szCs w:val="24"/>
          <w:lang w:val="zh-CN"/>
        </w:rPr>
        <w:t>本合同执行乙方先供货，甲方后付款的方式。</w:t>
      </w:r>
    </w:p>
    <w:p w14:paraId="23B2F777">
      <w:pPr>
        <w:tabs>
          <w:tab w:val="left" w:pos="1260"/>
        </w:tabs>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rPr>
        <w:t>3</w:t>
      </w:r>
      <w:r>
        <w:rPr>
          <w:rFonts w:hint="eastAsia" w:ascii="仿宋" w:hAnsi="仿宋" w:eastAsia="仿宋" w:cs="Times New Roman"/>
          <w:sz w:val="24"/>
          <w:szCs w:val="24"/>
          <w:lang w:val="zh-CN"/>
        </w:rPr>
        <w:t>、本合同以“结算月”为结算期进行结算，即：以上月</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lang w:val="zh-CN"/>
        </w:rPr>
        <w:t>日至本月</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lang w:val="zh-CN"/>
        </w:rPr>
        <w:t>日为一个结算周期；</w:t>
      </w:r>
    </w:p>
    <w:p w14:paraId="46875CAB">
      <w:pPr>
        <w:tabs>
          <w:tab w:val="left" w:pos="1260"/>
        </w:tabs>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rPr>
        <w:t>4</w:t>
      </w:r>
      <w:r>
        <w:rPr>
          <w:rFonts w:hint="eastAsia" w:ascii="仿宋" w:hAnsi="仿宋" w:eastAsia="仿宋" w:cs="Times New Roman"/>
          <w:sz w:val="24"/>
          <w:szCs w:val="24"/>
          <w:lang w:val="zh-CN"/>
        </w:rPr>
        <w:t>、结算与支付：甲乙双方根据双方核对确认的每个结算期内的材料签收单数量，以及计算的货款金额进行结算。乙方提供材料验收合格无质量问题时，甲乙双方及时办理供应</w:t>
      </w:r>
      <w:r>
        <w:rPr>
          <w:rFonts w:hint="eastAsia" w:ascii="仿宋" w:hAnsi="仿宋" w:eastAsia="仿宋" w:cs="仿宋"/>
          <w:sz w:val="24"/>
          <w:szCs w:val="24"/>
          <w:lang w:val="zh-CN"/>
        </w:rPr>
        <w:t>管材</w:t>
      </w:r>
      <w:r>
        <w:rPr>
          <w:rFonts w:hint="eastAsia" w:ascii="仿宋" w:hAnsi="仿宋" w:eastAsia="仿宋" w:cs="仿宋"/>
          <w:sz w:val="24"/>
          <w:szCs w:val="24"/>
        </w:rPr>
        <w:t>及零星配件</w:t>
      </w:r>
      <w:r>
        <w:rPr>
          <w:rFonts w:hint="eastAsia" w:ascii="仿宋" w:hAnsi="仿宋" w:eastAsia="仿宋" w:cs="Times New Roman"/>
          <w:sz w:val="24"/>
          <w:szCs w:val="24"/>
          <w:lang w:val="zh-CN"/>
        </w:rPr>
        <w:t>的最终结算，确定供应的总货款。</w:t>
      </w:r>
    </w:p>
    <w:p w14:paraId="4CD34621">
      <w:pPr>
        <w:widowControl w:val="0"/>
        <w:spacing w:after="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zh-CN" w:eastAsia="zh-CN" w:bidi="ar-SA"/>
        </w:rPr>
        <w:t>（</w:t>
      </w:r>
      <w:r>
        <w:rPr>
          <w:rFonts w:hint="eastAsia" w:ascii="仿宋" w:hAnsi="仿宋" w:eastAsia="仿宋" w:cs="Times New Roman"/>
          <w:kern w:val="2"/>
          <w:sz w:val="24"/>
          <w:szCs w:val="24"/>
          <w:lang w:val="en-US" w:eastAsia="zh-CN" w:bidi="ar-SA"/>
        </w:rPr>
        <w:t>1</w:t>
      </w:r>
      <w:r>
        <w:rPr>
          <w:rFonts w:hint="eastAsia" w:ascii="仿宋" w:hAnsi="仿宋" w:eastAsia="仿宋" w:cs="Times New Roman"/>
          <w:kern w:val="2"/>
          <w:sz w:val="24"/>
          <w:szCs w:val="24"/>
          <w:lang w:val="zh-CN" w:eastAsia="zh-CN" w:bidi="ar-SA"/>
        </w:rPr>
        <w:t>）乙方</w:t>
      </w:r>
      <w:r>
        <w:rPr>
          <w:rFonts w:hint="eastAsia" w:ascii="仿宋" w:hAnsi="仿宋" w:eastAsia="仿宋" w:cs="Times New Roman"/>
          <w:kern w:val="2"/>
          <w:sz w:val="24"/>
          <w:szCs w:val="24"/>
          <w:lang w:val="en-US" w:eastAsia="zh-CN" w:bidi="ar-SA"/>
        </w:rPr>
        <w:t>应于每个结算期满前五日内向甲方</w:t>
      </w:r>
      <w:r>
        <w:rPr>
          <w:rFonts w:hint="eastAsia" w:ascii="仿宋" w:hAnsi="仿宋" w:eastAsia="仿宋" w:cs="Times New Roman"/>
          <w:kern w:val="2"/>
          <w:sz w:val="24"/>
          <w:szCs w:val="24"/>
          <w:lang w:val="zh-CN" w:eastAsia="zh-CN" w:bidi="ar-SA"/>
        </w:rPr>
        <w:t>发出材料结算表，甲方对材料结算表中所载数量及金额进行确认，并将其中两份原件交还乙方。若对材料结算表中的数量、金额存在争议，甲方应在乙方发出材料结算表五日内以书面形式提出，否则视作认可，对有争议部分，双方本着实事求是的原则协商解决，但不影响无争议的结算确认及款项支付。</w:t>
      </w:r>
    </w:p>
    <w:p w14:paraId="6708B1C4">
      <w:pPr>
        <w:tabs>
          <w:tab w:val="left" w:pos="1260"/>
        </w:tabs>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lang w:val="zh-CN"/>
        </w:rPr>
        <w:t>（</w:t>
      </w:r>
      <w:r>
        <w:rPr>
          <w:rFonts w:hint="eastAsia" w:ascii="仿宋" w:hAnsi="仿宋" w:eastAsia="仿宋" w:cs="Times New Roman"/>
          <w:sz w:val="24"/>
          <w:szCs w:val="24"/>
        </w:rPr>
        <w:t>2</w:t>
      </w:r>
      <w:r>
        <w:rPr>
          <w:rFonts w:hint="eastAsia" w:ascii="仿宋" w:hAnsi="仿宋" w:eastAsia="仿宋" w:cs="Times New Roman"/>
          <w:sz w:val="24"/>
          <w:szCs w:val="24"/>
          <w:lang w:val="zh-CN"/>
        </w:rPr>
        <w:t>）</w:t>
      </w:r>
      <w:r>
        <w:rPr>
          <w:rFonts w:hint="eastAsia" w:ascii="仿宋" w:hAnsi="仿宋" w:eastAsia="仿宋" w:cs="Times New Roman"/>
          <w:sz w:val="24"/>
          <w:szCs w:val="24"/>
          <w:u w:val="single"/>
          <w:lang w:val="zh-CN"/>
        </w:rPr>
        <w:t>每</w:t>
      </w:r>
      <w:r>
        <w:rPr>
          <w:rFonts w:hint="eastAsia" w:ascii="仿宋" w:hAnsi="仿宋" w:eastAsia="仿宋" w:cs="Times New Roman"/>
          <w:sz w:val="24"/>
          <w:szCs w:val="24"/>
          <w:u w:val="single"/>
          <w:lang w:val="en-US" w:eastAsia="zh-CN"/>
        </w:rPr>
        <w:t>一</w:t>
      </w:r>
      <w:r>
        <w:rPr>
          <w:rFonts w:hint="eastAsia" w:ascii="仿宋" w:hAnsi="仿宋" w:eastAsia="仿宋" w:cs="Times New Roman"/>
          <w:sz w:val="24"/>
          <w:szCs w:val="24"/>
          <w:u w:val="single"/>
          <w:lang w:val="zh-CN"/>
        </w:rPr>
        <w:t>期结算期内</w:t>
      </w:r>
      <w:r>
        <w:rPr>
          <w:rFonts w:hint="eastAsia" w:ascii="仿宋" w:hAnsi="仿宋" w:eastAsia="仿宋" w:cs="仿宋"/>
          <w:sz w:val="24"/>
          <w:szCs w:val="24"/>
          <w:u w:val="single"/>
          <w:lang w:val="zh-CN"/>
        </w:rPr>
        <w:t>管材</w:t>
      </w:r>
      <w:r>
        <w:rPr>
          <w:rFonts w:hint="eastAsia" w:ascii="仿宋" w:hAnsi="仿宋" w:eastAsia="仿宋" w:cs="仿宋"/>
          <w:sz w:val="24"/>
          <w:szCs w:val="24"/>
          <w:u w:val="single"/>
        </w:rPr>
        <w:t>及零星配件</w:t>
      </w:r>
      <w:r>
        <w:rPr>
          <w:rFonts w:hint="eastAsia" w:ascii="仿宋" w:hAnsi="仿宋" w:eastAsia="仿宋" w:cs="Times New Roman"/>
          <w:sz w:val="24"/>
          <w:szCs w:val="24"/>
          <w:u w:val="single"/>
        </w:rPr>
        <w:t>经双方确认</w:t>
      </w:r>
      <w:r>
        <w:rPr>
          <w:rFonts w:hint="eastAsia" w:ascii="仿宋" w:hAnsi="仿宋" w:eastAsia="仿宋" w:cs="Times New Roman"/>
          <w:sz w:val="24"/>
          <w:szCs w:val="24"/>
          <w:u w:val="single"/>
          <w:lang w:val="zh-CN"/>
        </w:rPr>
        <w:t>后</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lang w:val="zh-CN"/>
        </w:rPr>
        <w:t>天（日历日）内</w:t>
      </w:r>
      <w:r>
        <w:rPr>
          <w:rFonts w:hint="eastAsia" w:ascii="仿宋" w:hAnsi="仿宋" w:eastAsia="仿宋" w:cs="Times New Roman"/>
          <w:sz w:val="24"/>
          <w:szCs w:val="24"/>
          <w:u w:val="single"/>
        </w:rPr>
        <w:t>，由甲方收到业主工程款前提下</w:t>
      </w:r>
      <w:r>
        <w:rPr>
          <w:rFonts w:hint="eastAsia" w:ascii="仿宋" w:hAnsi="仿宋" w:eastAsia="仿宋" w:cs="Times New Roman"/>
          <w:sz w:val="24"/>
          <w:szCs w:val="24"/>
          <w:u w:val="single"/>
          <w:lang w:val="zh-CN"/>
        </w:rPr>
        <w:t>支付上期结算金额的</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lang w:val="zh-CN"/>
        </w:rPr>
        <w:t>%，余下</w:t>
      </w:r>
      <w:r>
        <w:rPr>
          <w:rFonts w:hint="eastAsia" w:ascii="仿宋" w:hAnsi="仿宋" w:eastAsia="仿宋" w:cs="Times New Roman"/>
          <w:sz w:val="24"/>
          <w:szCs w:val="24"/>
          <w:u w:val="single"/>
          <w:lang w:val="en-US" w:eastAsia="zh-CN"/>
        </w:rPr>
        <w:t xml:space="preserve">  </w:t>
      </w:r>
      <w:bookmarkStart w:id="21" w:name="_GoBack"/>
      <w:bookmarkEnd w:id="21"/>
      <w:r>
        <w:rPr>
          <w:rFonts w:hint="eastAsia" w:ascii="仿宋" w:hAnsi="仿宋" w:eastAsia="仿宋" w:cs="Times New Roman"/>
          <w:sz w:val="24"/>
          <w:szCs w:val="24"/>
          <w:u w:val="single"/>
          <w:lang w:val="zh-CN"/>
        </w:rPr>
        <w:t>%</w:t>
      </w:r>
      <w:r>
        <w:rPr>
          <w:rFonts w:hint="eastAsia" w:ascii="仿宋" w:hAnsi="仿宋" w:eastAsia="仿宋" w:cs="Times New Roman"/>
          <w:sz w:val="24"/>
          <w:szCs w:val="24"/>
          <w:u w:val="single"/>
        </w:rPr>
        <w:t>于</w:t>
      </w:r>
      <w:r>
        <w:rPr>
          <w:rFonts w:hint="eastAsia" w:ascii="仿宋" w:hAnsi="仿宋" w:eastAsia="仿宋" w:cs="Times New Roman"/>
          <w:sz w:val="24"/>
          <w:szCs w:val="24"/>
          <w:u w:val="single"/>
          <w:lang w:val="zh-CN"/>
        </w:rPr>
        <w:t>合同最终结算后</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lang w:val="zh-CN"/>
        </w:rPr>
        <w:t>个月内无息返还乙方。甲方无义务向乙方垫付或预付双方已确认结算量之外的货款。</w:t>
      </w:r>
    </w:p>
    <w:p w14:paraId="18F894DA">
      <w:pPr>
        <w:tabs>
          <w:tab w:val="left" w:pos="1260"/>
        </w:tabs>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rPr>
        <w:t>5</w:t>
      </w:r>
      <w:r>
        <w:rPr>
          <w:rFonts w:hint="eastAsia" w:ascii="仿宋" w:hAnsi="仿宋" w:eastAsia="仿宋" w:cs="Times New Roman"/>
          <w:sz w:val="24"/>
          <w:szCs w:val="24"/>
          <w:lang w:val="zh-CN"/>
        </w:rPr>
        <w:t>、无论本合同其他条款约定的甲方向乙方支付货款的期限是否届满，甲方在收到业主支付的工程款无义务向乙方垫付相应部分货款。</w:t>
      </w:r>
    </w:p>
    <w:p w14:paraId="3702C908">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lang w:val="zh-CN"/>
        </w:rPr>
        <w:t>6、本合同涉及的所有计量支付、暂扣款项支付均由甲方支付到乙方在合同约定的银行账户，无特殊情况下，甲方不接受乙方提供的任何第三方</w:t>
      </w:r>
      <w:r>
        <w:rPr>
          <w:rFonts w:hint="eastAsia" w:ascii="仿宋" w:hAnsi="仿宋" w:eastAsia="仿宋" w:cs="Times New Roman"/>
          <w:sz w:val="24"/>
          <w:szCs w:val="24"/>
        </w:rPr>
        <w:t>收款</w:t>
      </w:r>
      <w:r>
        <w:rPr>
          <w:rFonts w:hint="eastAsia" w:ascii="仿宋" w:hAnsi="仿宋" w:eastAsia="仿宋" w:cs="Times New Roman"/>
          <w:sz w:val="24"/>
          <w:szCs w:val="24"/>
          <w:lang w:val="zh-CN"/>
        </w:rPr>
        <w:t>银行账户或委托</w:t>
      </w:r>
      <w:r>
        <w:rPr>
          <w:rFonts w:hint="eastAsia" w:ascii="仿宋" w:hAnsi="仿宋" w:eastAsia="仿宋" w:cs="Times New Roman"/>
          <w:sz w:val="24"/>
          <w:szCs w:val="24"/>
        </w:rPr>
        <w:t>收款</w:t>
      </w:r>
      <w:r>
        <w:rPr>
          <w:rFonts w:hint="eastAsia" w:ascii="仿宋" w:hAnsi="仿宋" w:eastAsia="仿宋" w:cs="Times New Roman"/>
          <w:sz w:val="24"/>
          <w:szCs w:val="24"/>
          <w:lang w:val="zh-CN"/>
        </w:rPr>
        <w:t>；</w:t>
      </w:r>
      <w:r>
        <w:rPr>
          <w:rFonts w:hint="eastAsia" w:ascii="仿宋" w:hAnsi="仿宋" w:eastAsia="仿宋" w:cs="Times New Roman"/>
          <w:sz w:val="24"/>
          <w:szCs w:val="24"/>
        </w:rPr>
        <w:t>乙方同意甲方根据管理需要选择银行转账、支票或供应链金融等方式支付计量款项。</w:t>
      </w:r>
    </w:p>
    <w:p w14:paraId="22D2DC55">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本合同价的</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%款项支付将选择供应链金融支付方式，乙方应根据该支付方式建立有效支付通道（包括但不限于在甲方指定银行开立结算账户、出具供应链金融有关文书等），甲方承担该支付方式产生的利息费用。</w:t>
      </w:r>
    </w:p>
    <w:p w14:paraId="1EB1F4B8">
      <w:pPr>
        <w:tabs>
          <w:tab w:val="left" w:pos="1260"/>
        </w:tabs>
        <w:spacing w:line="360" w:lineRule="auto"/>
        <w:ind w:firstLine="480" w:firstLineChars="200"/>
        <w:rPr>
          <w:rFonts w:ascii="仿宋" w:hAnsi="仿宋" w:eastAsia="仿宋" w:cs="Times New Roman"/>
          <w:sz w:val="24"/>
          <w:szCs w:val="24"/>
        </w:rPr>
      </w:pPr>
      <w:r>
        <w:rPr>
          <w:rFonts w:hint="eastAsia" w:ascii="仿宋" w:hAnsi="仿宋" w:eastAsia="仿宋" w:cs="Times New Roman"/>
          <w:sz w:val="24"/>
          <w:szCs w:val="24"/>
        </w:rPr>
        <w:t>7、发票的提供</w:t>
      </w:r>
    </w:p>
    <w:p w14:paraId="442BA9BC">
      <w:pPr>
        <w:tabs>
          <w:tab w:val="left" w:pos="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lang w:val="zh-CN"/>
        </w:rPr>
        <w:t>乙方应在每期结算确认后，在甲方资金支付前，根据合同内容和结算书内容向甲方出具相应增值税发票。以上条件不满足时，乙方不得向甲方申请支付款项，甲方有权停止支付且由乙方自身承担资金风险。</w:t>
      </w:r>
    </w:p>
    <w:p w14:paraId="2D366441">
      <w:pPr>
        <w:tabs>
          <w:tab w:val="left" w:pos="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lang w:val="zh-CN"/>
        </w:rPr>
        <w:t>乙方向甲方开具发票的金额（价税合计）需严格依据“累计确认结算量与资金支付量孰高原则”。</w:t>
      </w:r>
    </w:p>
    <w:p w14:paraId="68238EB8">
      <w:pPr>
        <w:tabs>
          <w:tab w:val="left" w:pos="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lang w:val="zh-CN"/>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sz w:val="24"/>
          <w:szCs w:val="24"/>
        </w:rPr>
        <w:t>发票类别（增值税专用发票或普通发票）与本项目的计税方法（一般计税方法或简易计税方法）匹配。</w:t>
      </w:r>
    </w:p>
    <w:p w14:paraId="0FD2A511">
      <w:pPr>
        <w:widowControl w:val="0"/>
        <w:spacing w:after="0" w:line="360" w:lineRule="auto"/>
        <w:ind w:firstLine="480" w:firstLineChars="200"/>
        <w:jc w:val="both"/>
        <w:rPr>
          <w:rFonts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8、发票提供的责任</w:t>
      </w:r>
    </w:p>
    <w:p w14:paraId="713A1476">
      <w:pPr>
        <w:tabs>
          <w:tab w:val="left" w:pos="126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lang w:val="zh-CN"/>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sz w:val="24"/>
          <w:szCs w:val="24"/>
        </w:rPr>
        <w:t>利益受损</w:t>
      </w:r>
      <w:r>
        <w:rPr>
          <w:rFonts w:hint="eastAsia" w:ascii="仿宋" w:hAnsi="仿宋" w:eastAsia="仿宋" w:cs="Times New Roman"/>
          <w:sz w:val="24"/>
          <w:szCs w:val="24"/>
          <w:lang w:val="zh-CN"/>
        </w:rPr>
        <w:t>的，全部损失由乙方承担。</w:t>
      </w:r>
    </w:p>
    <w:p w14:paraId="32267D53">
      <w:pPr>
        <w:tabs>
          <w:tab w:val="left" w:pos="1260"/>
        </w:tabs>
        <w:autoSpaceDE w:val="0"/>
        <w:autoSpaceDN w:val="0"/>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lang w:val="zh-CN"/>
        </w:rPr>
        <w:t xml:space="preserve"> </w:t>
      </w:r>
      <w:r>
        <w:rPr>
          <w:rFonts w:hint="eastAsia" w:ascii="仿宋" w:hAnsi="仿宋" w:eastAsia="仿宋" w:cs="Times New Roman"/>
          <w:sz w:val="24"/>
          <w:szCs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3倍的违约金。</w:t>
      </w:r>
    </w:p>
    <w:p w14:paraId="58E5FFA6">
      <w:pPr>
        <w:tabs>
          <w:tab w:val="left" w:pos="1260"/>
        </w:tabs>
        <w:autoSpaceDE w:val="0"/>
        <w:autoSpaceDN w:val="0"/>
        <w:spacing w:line="360" w:lineRule="auto"/>
        <w:ind w:firstLine="482" w:firstLineChars="200"/>
        <w:rPr>
          <w:rFonts w:hint="eastAsia" w:ascii="仿宋" w:hAnsi="仿宋" w:eastAsia="仿宋" w:cs="Times New Roman"/>
          <w:b/>
          <w:sz w:val="24"/>
          <w:szCs w:val="24"/>
          <w:lang w:val="zh-CN"/>
        </w:rPr>
      </w:pPr>
      <w:r>
        <w:rPr>
          <w:rFonts w:hint="eastAsia" w:ascii="仿宋" w:hAnsi="仿宋" w:eastAsia="仿宋" w:cs="Times New Roman"/>
          <w:b/>
          <w:sz w:val="24"/>
          <w:szCs w:val="24"/>
        </w:rPr>
        <w:t>五</w:t>
      </w:r>
      <w:r>
        <w:rPr>
          <w:rFonts w:hint="eastAsia" w:ascii="仿宋" w:hAnsi="仿宋" w:eastAsia="仿宋" w:cs="Times New Roman"/>
          <w:b/>
          <w:sz w:val="24"/>
          <w:szCs w:val="24"/>
          <w:lang w:val="zh-CN"/>
        </w:rPr>
        <w:t>、材料的检测与验收</w:t>
      </w:r>
    </w:p>
    <w:p w14:paraId="049F5B90">
      <w:pPr>
        <w:widowControl w:val="0"/>
        <w:spacing w:after="0" w:line="360" w:lineRule="auto"/>
        <w:ind w:firstLine="480" w:firstLineChars="200"/>
        <w:jc w:val="both"/>
        <w:rPr>
          <w:rFonts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1、</w:t>
      </w:r>
      <w:r>
        <w:rPr>
          <w:rFonts w:hint="eastAsia" w:ascii="仿宋" w:hAnsi="仿宋" w:eastAsia="仿宋" w:cs="Times New Roman"/>
          <w:kern w:val="2"/>
          <w:sz w:val="24"/>
          <w:szCs w:val="24"/>
          <w:lang w:val="zh-CN" w:eastAsia="zh-CN" w:bidi="ar-SA"/>
        </w:rPr>
        <w:t>乙方所提供的材料的质量必须满足甲方现场施工的设计要求和施工要求，并提供出厂质保书或厂家检验报告。</w:t>
      </w:r>
      <w:r>
        <w:rPr>
          <w:rFonts w:hint="eastAsia" w:ascii="仿宋" w:hAnsi="仿宋" w:eastAsia="仿宋" w:cs="Times New Roman"/>
          <w:color w:val="000000"/>
          <w:kern w:val="2"/>
          <w:sz w:val="24"/>
          <w:szCs w:val="24"/>
          <w:lang w:val="en-US" w:eastAsia="zh-CN" w:bidi="ar-SA"/>
        </w:rPr>
        <w:t>出厂的检验报告单3天结果5天内补送，28天结果32天内补送；</w:t>
      </w:r>
      <w:r>
        <w:rPr>
          <w:rFonts w:hint="eastAsia" w:ascii="仿宋" w:hAnsi="仿宋" w:eastAsia="仿宋" w:cs="Times New Roman"/>
          <w:kern w:val="2"/>
          <w:sz w:val="24"/>
          <w:szCs w:val="24"/>
          <w:lang w:val="en-US" w:eastAsia="zh-CN" w:bidi="ar-SA"/>
        </w:rPr>
        <w:t>不合格品不得用于甲方项目工程，不合格材料的检验费由乙方承担</w:t>
      </w:r>
      <w:r>
        <w:rPr>
          <w:rFonts w:hint="eastAsia" w:ascii="仿宋" w:hAnsi="仿宋" w:eastAsia="仿宋" w:cs="Times New Roman"/>
          <w:kern w:val="2"/>
          <w:sz w:val="24"/>
          <w:szCs w:val="24"/>
          <w:lang w:val="zh-CN" w:eastAsia="zh-CN" w:bidi="ar-SA"/>
        </w:rPr>
        <w:t>。</w:t>
      </w:r>
    </w:p>
    <w:p w14:paraId="02F3FF1D">
      <w:pPr>
        <w:tabs>
          <w:tab w:val="left" w:pos="1260"/>
        </w:tabs>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2、材料</w:t>
      </w:r>
      <w:r>
        <w:rPr>
          <w:rFonts w:hint="eastAsia" w:ascii="仿宋" w:hAnsi="仿宋" w:eastAsia="仿宋" w:cs="仿宋"/>
          <w:sz w:val="24"/>
          <w:szCs w:val="24"/>
          <w:lang w:val="zh-CN"/>
        </w:rPr>
        <w:t>的</w:t>
      </w:r>
      <w:r>
        <w:rPr>
          <w:rFonts w:hint="eastAsia" w:ascii="仿宋" w:hAnsi="仿宋" w:eastAsia="仿宋" w:cs="仿宋"/>
          <w:sz w:val="24"/>
          <w:szCs w:val="24"/>
        </w:rPr>
        <w:t>现场验收应由运输车辆司机或乙方所派的指定人员</w:t>
      </w:r>
      <w:r>
        <w:rPr>
          <w:rFonts w:hint="eastAsia" w:ascii="仿宋" w:hAnsi="仿宋" w:eastAsia="仿宋" w:cs="Times New Roman"/>
          <w:sz w:val="24"/>
          <w:szCs w:val="24"/>
          <w:u w:val="single"/>
          <w:lang w:val="en-US" w:eastAsia="zh-CN"/>
        </w:rPr>
        <w:t xml:space="preserve">   </w:t>
      </w:r>
      <w:r>
        <w:rPr>
          <w:rFonts w:hint="eastAsia" w:ascii="仿宋" w:hAnsi="仿宋" w:eastAsia="仿宋" w:cs="仿宋"/>
          <w:sz w:val="24"/>
          <w:szCs w:val="24"/>
          <w:u w:val="single"/>
        </w:rPr>
        <w:t xml:space="preserve">，身份证号：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、甲方的专职材料员</w:t>
      </w:r>
      <w:r>
        <w:rPr>
          <w:rFonts w:hint="eastAsia" w:ascii="仿宋" w:hAnsi="仿宋" w:eastAsia="仿宋" w:cs="仿宋"/>
          <w:sz w:val="24"/>
          <w:szCs w:val="24"/>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u w:val="single"/>
        </w:rPr>
        <w:t>、</w:t>
      </w:r>
      <w:r>
        <w:rPr>
          <w:rFonts w:hint="eastAsia" w:ascii="仿宋" w:hAnsi="仿宋" w:eastAsia="仿宋" w:cs="Times New Roman"/>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共同参与。验收时，验收人员应对每批材料送货单、出厂证明文件等资料进行核对，核实到货数量，并作相应记录，如发现情况异常，验收人员有权拒绝卸货，因此造成的损失由乙方负责。材料验收合格后由验收人员在材料签收单上签名确认，但该确认不能免除乙方应承担的质量责任。</w:t>
      </w:r>
    </w:p>
    <w:p w14:paraId="5DBEA927">
      <w:pPr>
        <w:autoSpaceDE w:val="0"/>
        <w:autoSpaceDN w:val="0"/>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3、甲方指定收货人：</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，身份证号：</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，联系电话：</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；甲方收货联系人仅有权对乙方送货单中的数量予以确认，无权对货物价款以及最终结算单进行确认。</w:t>
      </w:r>
    </w:p>
    <w:p w14:paraId="2C4AA8B1">
      <w:pPr>
        <w:autoSpaceDE w:val="0"/>
        <w:autoSpaceDN w:val="0"/>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乙方发货联系人：</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，身份证号：</w:t>
      </w:r>
      <w:r>
        <w:rPr>
          <w:rFonts w:hint="eastAsia" w:ascii="仿宋" w:hAnsi="仿宋" w:eastAsia="仿宋" w:cs="Times New Roman"/>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，联系电话：</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；乙方须将货物运至交货地点交甲方联系人签收确认方为有效。非本合同约定甲方联系人签收的送货单，视为甲方未收到相应货物，对甲方不具有效力。</w:t>
      </w:r>
    </w:p>
    <w:p w14:paraId="289893F0">
      <w:pPr>
        <w:tabs>
          <w:tab w:val="left" w:pos="1260"/>
        </w:tabs>
        <w:spacing w:line="360" w:lineRule="auto"/>
        <w:ind w:firstLine="480" w:firstLineChars="200"/>
        <w:rPr>
          <w:rFonts w:hint="eastAsia" w:ascii="仿宋" w:hAnsi="仿宋" w:eastAsia="仿宋" w:cs="Times New Roman"/>
          <w:sz w:val="24"/>
          <w:szCs w:val="24"/>
        </w:rPr>
      </w:pPr>
      <w:r>
        <w:rPr>
          <w:rFonts w:hint="eastAsia" w:ascii="仿宋" w:hAnsi="仿宋" w:eastAsia="仿宋" w:cs="仿宋"/>
          <w:sz w:val="24"/>
          <w:szCs w:val="24"/>
        </w:rPr>
        <w:t>甲乙各自委派的</w:t>
      </w:r>
      <w:r>
        <w:rPr>
          <w:rFonts w:hint="eastAsia" w:ascii="仿宋" w:hAnsi="仿宋" w:eastAsia="仿宋" w:cs="仿宋"/>
          <w:sz w:val="24"/>
          <w:szCs w:val="24"/>
          <w:lang w:val="zh-CN"/>
        </w:rPr>
        <w:t>材料验收人员，双方应以</w:t>
      </w:r>
      <w:r>
        <w:rPr>
          <w:rFonts w:hint="eastAsia" w:ascii="仿宋" w:hAnsi="仿宋" w:eastAsia="仿宋" w:cs="仿宋"/>
          <w:sz w:val="24"/>
          <w:szCs w:val="24"/>
        </w:rPr>
        <w:t>书面</w:t>
      </w:r>
      <w:r>
        <w:rPr>
          <w:rFonts w:hint="eastAsia" w:ascii="仿宋" w:hAnsi="仿宋" w:eastAsia="仿宋" w:cs="仿宋"/>
          <w:sz w:val="24"/>
          <w:szCs w:val="24"/>
          <w:lang w:val="zh-CN"/>
        </w:rPr>
        <w:t>形式通知对方，如果一方验收人员发生变更时，双方应及时用</w:t>
      </w:r>
      <w:r>
        <w:rPr>
          <w:rFonts w:hint="eastAsia" w:ascii="仿宋" w:hAnsi="仿宋" w:eastAsia="仿宋" w:cs="仿宋"/>
          <w:sz w:val="24"/>
          <w:szCs w:val="24"/>
        </w:rPr>
        <w:t>书面</w:t>
      </w:r>
      <w:r>
        <w:rPr>
          <w:rFonts w:hint="eastAsia" w:ascii="仿宋" w:hAnsi="仿宋" w:eastAsia="仿宋" w:cs="仿宋"/>
          <w:sz w:val="24"/>
          <w:szCs w:val="24"/>
          <w:lang w:val="zh-CN"/>
        </w:rPr>
        <w:t>形式通知对方作相应的更改</w:t>
      </w:r>
      <w:r>
        <w:rPr>
          <w:rFonts w:hint="eastAsia" w:ascii="仿宋" w:hAnsi="仿宋" w:eastAsia="仿宋" w:cs="Times New Roman"/>
          <w:sz w:val="24"/>
          <w:szCs w:val="24"/>
        </w:rPr>
        <w:t>。</w:t>
      </w:r>
    </w:p>
    <w:p w14:paraId="2960FE72">
      <w:pPr>
        <w:tabs>
          <w:tab w:val="left" w:pos="1260"/>
        </w:tabs>
        <w:spacing w:line="360" w:lineRule="auto"/>
        <w:ind w:firstLine="480" w:firstLineChars="200"/>
        <w:rPr>
          <w:rFonts w:ascii="仿宋" w:hAnsi="仿宋" w:eastAsia="仿宋" w:cs="Times New Roman"/>
          <w:sz w:val="24"/>
          <w:szCs w:val="24"/>
        </w:rPr>
      </w:pPr>
      <w:r>
        <w:rPr>
          <w:rFonts w:hint="eastAsia" w:ascii="仿宋" w:hAnsi="仿宋" w:eastAsia="仿宋" w:cs="Times New Roman"/>
          <w:sz w:val="24"/>
          <w:szCs w:val="24"/>
        </w:rPr>
        <w:t>4、</w:t>
      </w:r>
      <w:r>
        <w:rPr>
          <w:rFonts w:hint="eastAsia" w:ascii="仿宋" w:hAnsi="仿宋" w:eastAsia="仿宋" w:cs="仿宋"/>
          <w:sz w:val="24"/>
          <w:szCs w:val="24"/>
        </w:rPr>
        <w:t>材料进场后，甲方按有关规范抽检，检验费用由</w:t>
      </w:r>
      <w:r>
        <w:rPr>
          <w:rFonts w:hint="eastAsia" w:ascii="仿宋" w:hAnsi="仿宋" w:eastAsia="仿宋" w:cs="仿宋"/>
          <w:sz w:val="24"/>
          <w:szCs w:val="24"/>
          <w:lang w:val="zh-CN"/>
        </w:rPr>
        <w:t>甲方</w:t>
      </w:r>
      <w:r>
        <w:rPr>
          <w:rFonts w:hint="eastAsia" w:ascii="仿宋" w:hAnsi="仿宋" w:eastAsia="仿宋" w:cs="仿宋"/>
          <w:sz w:val="24"/>
          <w:szCs w:val="24"/>
        </w:rPr>
        <w:t>负责。若出现质量争议，应以</w:t>
      </w:r>
      <w:r>
        <w:rPr>
          <w:rFonts w:hint="eastAsia" w:ascii="仿宋" w:hAnsi="仿宋" w:eastAsia="仿宋" w:cs="仿宋"/>
          <w:sz w:val="24"/>
          <w:szCs w:val="24"/>
          <w:u w:val="single"/>
          <w:lang w:val="en-US" w:eastAsia="zh-CN"/>
        </w:rPr>
        <w:t xml:space="preserve">    </w:t>
      </w:r>
      <w:r>
        <w:rPr>
          <w:rFonts w:hint="eastAsia" w:ascii="仿宋" w:hAnsi="仿宋" w:eastAsia="仿宋" w:cs="Times New Roman"/>
          <w:sz w:val="24"/>
          <w:szCs w:val="24"/>
        </w:rPr>
        <w:t>有相关检测资质的第三方机构检测</w:t>
      </w:r>
      <w:r>
        <w:rPr>
          <w:rFonts w:hint="eastAsia" w:ascii="仿宋" w:hAnsi="仿宋" w:eastAsia="仿宋" w:cs="仿宋"/>
          <w:sz w:val="24"/>
          <w:szCs w:val="24"/>
        </w:rPr>
        <w:t>的报告为最终结果（但该结果不能免除乙方所应承担的材料质量责任）。如果鉴定为不合格，质检费用由乙方负责，乙方负责将不合格材料运走并及时补送材料。</w:t>
      </w:r>
    </w:p>
    <w:p w14:paraId="049F2EB5">
      <w:pPr>
        <w:tabs>
          <w:tab w:val="left" w:pos="1260"/>
        </w:tabs>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5、材料</w:t>
      </w:r>
      <w:r>
        <w:rPr>
          <w:rFonts w:hint="eastAsia" w:ascii="仿宋" w:hAnsi="仿宋" w:eastAsia="仿宋" w:cs="仿宋"/>
          <w:sz w:val="24"/>
          <w:szCs w:val="24"/>
        </w:rPr>
        <w:t>的数量确认以双方共同签认数量计量结果</w:t>
      </w:r>
      <w:r>
        <w:rPr>
          <w:rFonts w:hint="eastAsia" w:ascii="仿宋" w:hAnsi="仿宋" w:eastAsia="仿宋" w:cs="Times New Roman"/>
          <w:sz w:val="24"/>
          <w:szCs w:val="24"/>
        </w:rPr>
        <w:t>。</w:t>
      </w:r>
    </w:p>
    <w:p w14:paraId="6B5CD78F">
      <w:pPr>
        <w:widowControl w:val="0"/>
        <w:spacing w:after="120" w:line="360" w:lineRule="auto"/>
        <w:ind w:firstLine="482" w:firstLineChars="200"/>
        <w:jc w:val="both"/>
        <w:rPr>
          <w:rFonts w:hint="eastAsia" w:ascii="仿宋" w:hAnsi="仿宋" w:eastAsia="仿宋" w:cs="Times New Roman"/>
          <w:b/>
          <w:bCs/>
          <w:kern w:val="2"/>
          <w:sz w:val="24"/>
          <w:szCs w:val="24"/>
          <w:lang w:val="en-US" w:eastAsia="zh-CN" w:bidi="ar-SA"/>
        </w:rPr>
      </w:pPr>
      <w:r>
        <w:rPr>
          <w:rFonts w:hint="eastAsia" w:ascii="仿宋" w:hAnsi="仿宋" w:eastAsia="仿宋" w:cs="Times New Roman"/>
          <w:b/>
          <w:bCs/>
          <w:kern w:val="2"/>
          <w:sz w:val="24"/>
          <w:szCs w:val="24"/>
          <w:lang w:val="en-US" w:eastAsia="zh-CN" w:bidi="ar-SA"/>
        </w:rPr>
        <w:t>六、供应与运输</w:t>
      </w:r>
    </w:p>
    <w:p w14:paraId="4A3E3B25">
      <w:pPr>
        <w:widowControl w:val="0"/>
        <w:spacing w:after="12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1、乙方根据甲方的需求，负责甲方指定的</w:t>
      </w:r>
      <w:r>
        <w:rPr>
          <w:rFonts w:hint="eastAsia" w:ascii="仿宋" w:hAnsi="仿宋" w:eastAsia="仿宋" w:cs="Times New Roman"/>
          <w:color w:val="000000"/>
          <w:kern w:val="2"/>
          <w:sz w:val="24"/>
          <w:szCs w:val="24"/>
          <w:u w:val="single"/>
          <w:lang w:val="en-US" w:eastAsia="zh-CN" w:bidi="ar-SA"/>
        </w:rPr>
        <w:t xml:space="preserve">         </w:t>
      </w:r>
      <w:r>
        <w:rPr>
          <w:rFonts w:hint="eastAsia" w:ascii="仿宋" w:hAnsi="仿宋" w:eastAsia="仿宋" w:cs="Times New Roman"/>
          <w:kern w:val="2"/>
          <w:sz w:val="24"/>
          <w:szCs w:val="24"/>
          <w:lang w:val="en-US" w:eastAsia="zh-CN" w:bidi="ar-SA"/>
        </w:rPr>
        <w:t>管材及零星配件的运输与供应，并负责运输过程中的一切手续、费用及货物在途的一切风险。</w:t>
      </w:r>
    </w:p>
    <w:p w14:paraId="0B3152AF">
      <w:pPr>
        <w:tabs>
          <w:tab w:val="left" w:pos="1260"/>
        </w:tabs>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rPr>
        <w:t>2、乙方应负责提供货物运至合同规定的交货地点所要求的包装或防护，该包装或防护应足以防止货物在交货前发生损坏或变质。如有发生损坏或变质，甲方保留向乙方追偿的权利</w:t>
      </w:r>
      <w:r>
        <w:rPr>
          <w:rFonts w:hint="eastAsia" w:ascii="仿宋" w:hAnsi="仿宋" w:eastAsia="仿宋" w:cs="Times New Roman"/>
          <w:sz w:val="24"/>
          <w:szCs w:val="24"/>
          <w:lang w:val="zh-CN"/>
        </w:rPr>
        <w:t>。</w:t>
      </w:r>
    </w:p>
    <w:p w14:paraId="1CA277D6">
      <w:pPr>
        <w:tabs>
          <w:tab w:val="left" w:pos="1260"/>
        </w:tabs>
        <w:spacing w:line="360" w:lineRule="auto"/>
        <w:ind w:firstLine="480" w:firstLineChars="200"/>
        <w:rPr>
          <w:rFonts w:ascii="仿宋" w:hAnsi="仿宋" w:eastAsia="仿宋" w:cs="Times New Roman"/>
          <w:sz w:val="24"/>
          <w:szCs w:val="24"/>
        </w:rPr>
      </w:pPr>
      <w:r>
        <w:rPr>
          <w:rFonts w:hint="eastAsia" w:ascii="仿宋" w:hAnsi="仿宋" w:eastAsia="仿宋" w:cs="Times New Roman"/>
          <w:sz w:val="24"/>
          <w:szCs w:val="24"/>
        </w:rPr>
        <w:t>3</w:t>
      </w:r>
      <w:r>
        <w:rPr>
          <w:rFonts w:hint="eastAsia" w:ascii="仿宋" w:hAnsi="仿宋" w:eastAsia="仿宋" w:cs="Times New Roman"/>
          <w:sz w:val="24"/>
          <w:szCs w:val="24"/>
          <w:lang w:val="zh-CN"/>
        </w:rPr>
        <w:t>、乙方采取有效措施确保</w:t>
      </w:r>
      <w:r>
        <w:rPr>
          <w:rFonts w:hint="eastAsia" w:ascii="仿宋" w:hAnsi="仿宋" w:eastAsia="仿宋" w:cs="仿宋"/>
          <w:sz w:val="24"/>
          <w:szCs w:val="24"/>
        </w:rPr>
        <w:t>材料</w:t>
      </w:r>
      <w:r>
        <w:rPr>
          <w:rFonts w:hint="eastAsia" w:ascii="仿宋" w:hAnsi="仿宋" w:eastAsia="仿宋" w:cs="Times New Roman"/>
          <w:sz w:val="24"/>
          <w:szCs w:val="24"/>
          <w:lang w:val="zh-CN"/>
        </w:rPr>
        <w:t>运达甲方项目过程中的安全、注意环境保护，若运输过程中发生交通事故、安全事故、污染环境等事件，由乙方自己负责，甲方不承担任何责任。</w:t>
      </w:r>
    </w:p>
    <w:p w14:paraId="08D46A42">
      <w:pPr>
        <w:tabs>
          <w:tab w:val="left" w:pos="1260"/>
        </w:tabs>
        <w:autoSpaceDE w:val="0"/>
        <w:autoSpaceDN w:val="0"/>
        <w:spacing w:line="360" w:lineRule="auto"/>
        <w:ind w:firstLine="482" w:firstLineChars="200"/>
        <w:rPr>
          <w:rFonts w:hint="eastAsia" w:ascii="仿宋" w:hAnsi="仿宋" w:eastAsia="仿宋" w:cs="Times New Roman"/>
          <w:b/>
          <w:sz w:val="24"/>
          <w:szCs w:val="24"/>
          <w:lang w:val="zh-CN"/>
        </w:rPr>
      </w:pPr>
      <w:r>
        <w:rPr>
          <w:rFonts w:hint="eastAsia" w:ascii="仿宋" w:hAnsi="仿宋" w:eastAsia="仿宋" w:cs="Times New Roman"/>
          <w:b/>
          <w:sz w:val="24"/>
          <w:szCs w:val="24"/>
          <w:lang w:val="zh-CN"/>
        </w:rPr>
        <w:t>七、违约责任</w:t>
      </w:r>
    </w:p>
    <w:p w14:paraId="4749A205">
      <w:pPr>
        <w:tabs>
          <w:tab w:val="left" w:pos="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lang w:val="zh-CN"/>
        </w:rPr>
        <w:t>1、乙方</w:t>
      </w:r>
      <w:r>
        <w:rPr>
          <w:rFonts w:hint="eastAsia" w:ascii="仿宋" w:hAnsi="仿宋" w:eastAsia="仿宋" w:cs="Times New Roman"/>
          <w:sz w:val="24"/>
          <w:szCs w:val="24"/>
        </w:rPr>
        <w:t>供应的材料质量未符合本合同有关要求的，</w:t>
      </w:r>
      <w:r>
        <w:rPr>
          <w:rFonts w:hint="eastAsia" w:ascii="仿宋" w:hAnsi="仿宋" w:eastAsia="仿宋" w:cs="Times New Roman"/>
          <w:sz w:val="24"/>
          <w:szCs w:val="24"/>
          <w:lang w:val="zh-CN"/>
        </w:rPr>
        <w:t>造成甲方</w:t>
      </w:r>
      <w:r>
        <w:rPr>
          <w:rFonts w:hint="eastAsia" w:ascii="仿宋" w:hAnsi="仿宋" w:eastAsia="仿宋" w:cs="Times New Roman"/>
          <w:sz w:val="24"/>
          <w:szCs w:val="24"/>
        </w:rPr>
        <w:t>工期延误的，每延误一日，乙方应按合同暂定金额每日万分之五向甲方支付违约金，违约金不足以弥补工期延误对甲方所造成经济损失的，甲方有权按照实际损失向乙方追偿。</w:t>
      </w:r>
    </w:p>
    <w:p w14:paraId="11E73F5D">
      <w:pPr>
        <w:tabs>
          <w:tab w:val="left" w:pos="0"/>
        </w:tabs>
        <w:autoSpaceDE w:val="0"/>
        <w:autoSpaceDN w:val="0"/>
        <w:spacing w:line="360" w:lineRule="auto"/>
        <w:ind w:firstLine="480" w:firstLineChars="200"/>
        <w:rPr>
          <w:rFonts w:ascii="仿宋" w:hAnsi="仿宋" w:eastAsia="仿宋" w:cs="Times New Roman"/>
          <w:sz w:val="24"/>
          <w:szCs w:val="24"/>
          <w:lang w:val="zh-CN"/>
        </w:rPr>
      </w:pPr>
      <w:r>
        <w:rPr>
          <w:rFonts w:hint="eastAsia" w:ascii="仿宋" w:hAnsi="仿宋" w:eastAsia="仿宋" w:cs="Times New Roman"/>
          <w:sz w:val="24"/>
          <w:szCs w:val="24"/>
        </w:rPr>
        <w:t>2</w:t>
      </w:r>
      <w:r>
        <w:rPr>
          <w:rFonts w:hint="eastAsia" w:ascii="仿宋" w:hAnsi="仿宋" w:eastAsia="仿宋" w:cs="Times New Roman"/>
          <w:sz w:val="24"/>
          <w:szCs w:val="24"/>
          <w:lang w:val="zh-CN"/>
        </w:rPr>
        <w:t>、甲方根据施工进度向乙方提供需求计划，</w:t>
      </w:r>
      <w:r>
        <w:rPr>
          <w:rFonts w:hint="eastAsia" w:ascii="仿宋" w:hAnsi="仿宋" w:eastAsia="仿宋" w:cs="Times New Roman"/>
          <w:sz w:val="24"/>
          <w:szCs w:val="24"/>
        </w:rPr>
        <w:t>在计划未进行变更的前提下，</w:t>
      </w:r>
      <w:r>
        <w:rPr>
          <w:rFonts w:hint="eastAsia" w:ascii="仿宋" w:hAnsi="仿宋" w:eastAsia="仿宋" w:cs="Times New Roman"/>
          <w:sz w:val="24"/>
          <w:szCs w:val="24"/>
          <w:lang w:val="zh-CN"/>
        </w:rPr>
        <w:t>如乙方无故未能依时足额供货的，则从逾期第一天起，每逾期一天则按该批次材料货款万分之五的标准向甲方支付违约金，直到送货完毕为止。逾期供货超过</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lang w:val="zh-CN"/>
        </w:rPr>
        <w:t>日的，甲方有权解除合同并要求乙方支付当次材料货款的</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lang w:val="zh-CN"/>
        </w:rPr>
        <w:t>%作为违约金；甲方选择继续履行合同的，乙方仍须支付逾期供货违约金。（不可抗力因素造成未能按时交货的除外。）。</w:t>
      </w:r>
    </w:p>
    <w:p w14:paraId="6D5894C2">
      <w:pPr>
        <w:tabs>
          <w:tab w:val="left" w:pos="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rPr>
        <w:t>3</w:t>
      </w:r>
      <w:r>
        <w:rPr>
          <w:rFonts w:hint="eastAsia" w:ascii="仿宋" w:hAnsi="仿宋" w:eastAsia="仿宋" w:cs="Times New Roman"/>
          <w:sz w:val="24"/>
          <w:szCs w:val="24"/>
          <w:lang w:val="zh-CN"/>
        </w:rPr>
        <w:t>、当</w:t>
      </w:r>
      <w:r>
        <w:rPr>
          <w:rFonts w:hint="eastAsia" w:ascii="仿宋" w:hAnsi="仿宋" w:eastAsia="仿宋" w:cs="Times New Roman"/>
          <w:sz w:val="24"/>
          <w:szCs w:val="24"/>
        </w:rPr>
        <w:t>乙方</w:t>
      </w:r>
      <w:r>
        <w:rPr>
          <w:rFonts w:hint="eastAsia" w:ascii="仿宋" w:hAnsi="仿宋" w:eastAsia="仿宋" w:cs="Times New Roman"/>
          <w:sz w:val="24"/>
          <w:szCs w:val="24"/>
          <w:lang w:val="zh-CN"/>
        </w:rPr>
        <w:t>的供货能力不能满足甲方计划材料用量时，为避免延误工期，甲方有权增加新供应商供料，由此产生的差价损失由乙方承担。</w:t>
      </w:r>
    </w:p>
    <w:p w14:paraId="607F39E7">
      <w:pPr>
        <w:widowControl w:val="0"/>
        <w:spacing w:after="12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4、如因乙方原因导致工程工期延误，由此造成甲方经济损失的，由乙方承担。</w:t>
      </w:r>
    </w:p>
    <w:p w14:paraId="5947240C">
      <w:pPr>
        <w:widowControl w:val="0"/>
        <w:spacing w:after="12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5、如乙方出现本款第1、2、3、4项行为的，视为违约，甲方有权单方解除合同，解除合同通知自送达至乙方时生效，本合同解除。</w:t>
      </w:r>
    </w:p>
    <w:p w14:paraId="4AA1B9E7">
      <w:pPr>
        <w:widowControl w:val="0"/>
        <w:spacing w:after="12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6、</w:t>
      </w:r>
      <w:r>
        <w:rPr>
          <w:rFonts w:hint="eastAsia" w:ascii="仿宋" w:hAnsi="仿宋" w:eastAsia="仿宋" w:cs="仿宋"/>
          <w:kern w:val="2"/>
          <w:sz w:val="24"/>
          <w:szCs w:val="24"/>
          <w:lang w:val="en-US" w:eastAsia="zh-CN" w:bidi="ar-SA"/>
        </w:rPr>
        <w:t>乙方因本合同产生的包括但不限于给甲方造成的损失、违约金、处罚款等款项，甲方有权在应付款项中优先扣减，仍不能弥补甲方损失的，甲方有权向乙方进行追偿。</w:t>
      </w:r>
    </w:p>
    <w:p w14:paraId="455F542D">
      <w:pPr>
        <w:widowControl w:val="0"/>
        <w:spacing w:after="120" w:line="360" w:lineRule="auto"/>
        <w:ind w:firstLine="480" w:firstLineChars="200"/>
        <w:jc w:val="both"/>
        <w:rPr>
          <w:rFonts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7、甲方不对乙方供应材料的商标、专利等知识产权是否侵犯第三方权利负责。对于因乙方材料导致的知识产权或违法行为，甲方有权单方以书面通知解除本合同，并不承担任何违约责任，由乙方负责与第三方交涉、参加诉讼进行抗辩，并承担由此引起的一切法律和经济上的责任。如造成甲方损失的，甲方有权向乙方追偿。</w:t>
      </w:r>
    </w:p>
    <w:p w14:paraId="24933382">
      <w:pPr>
        <w:tabs>
          <w:tab w:val="left" w:pos="1260"/>
        </w:tabs>
        <w:autoSpaceDE w:val="0"/>
        <w:autoSpaceDN w:val="0"/>
        <w:spacing w:line="360" w:lineRule="auto"/>
        <w:ind w:firstLine="482" w:firstLineChars="200"/>
        <w:rPr>
          <w:rFonts w:hint="eastAsia" w:ascii="仿宋" w:hAnsi="仿宋" w:eastAsia="仿宋" w:cs="Times New Roman"/>
          <w:b/>
          <w:sz w:val="24"/>
          <w:szCs w:val="24"/>
          <w:lang w:val="zh-CN"/>
        </w:rPr>
      </w:pPr>
      <w:r>
        <w:rPr>
          <w:rFonts w:hint="eastAsia" w:ascii="仿宋" w:hAnsi="仿宋" w:eastAsia="仿宋" w:cs="Times New Roman"/>
          <w:b/>
          <w:sz w:val="24"/>
          <w:szCs w:val="24"/>
        </w:rPr>
        <w:t>八</w:t>
      </w:r>
      <w:r>
        <w:rPr>
          <w:rFonts w:hint="eastAsia" w:ascii="仿宋" w:hAnsi="仿宋" w:eastAsia="仿宋" w:cs="Times New Roman"/>
          <w:b/>
          <w:sz w:val="24"/>
          <w:szCs w:val="24"/>
          <w:lang w:val="zh-CN"/>
        </w:rPr>
        <w:t>、合同争议的解决</w:t>
      </w:r>
    </w:p>
    <w:p w14:paraId="525A4BCE">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有关本合同的一切争议，甲、乙双方应根据法律规定以及本合同的约定友好协商解决，协商不成，任何一方可向甲方所在地有管辖权的人民法院提起诉讼。</w:t>
      </w:r>
    </w:p>
    <w:p w14:paraId="68B170B3">
      <w:pPr>
        <w:spacing w:line="360" w:lineRule="auto"/>
        <w:ind w:firstLine="482" w:firstLineChars="200"/>
        <w:rPr>
          <w:rFonts w:hint="eastAsia" w:ascii="仿宋" w:hAnsi="仿宋" w:eastAsia="仿宋" w:cs="Times New Roman"/>
          <w:b/>
          <w:sz w:val="24"/>
          <w:szCs w:val="24"/>
          <w:lang w:val="zh-CN"/>
        </w:rPr>
      </w:pPr>
      <w:r>
        <w:rPr>
          <w:rFonts w:hint="eastAsia" w:ascii="仿宋" w:hAnsi="仿宋" w:eastAsia="仿宋" w:cs="Times New Roman"/>
          <w:b/>
          <w:sz w:val="24"/>
          <w:szCs w:val="24"/>
        </w:rPr>
        <w:t>九</w:t>
      </w:r>
      <w:r>
        <w:rPr>
          <w:rFonts w:hint="eastAsia" w:ascii="仿宋" w:hAnsi="仿宋" w:eastAsia="仿宋" w:cs="Times New Roman"/>
          <w:b/>
          <w:sz w:val="24"/>
          <w:szCs w:val="24"/>
          <w:lang w:val="zh-CN"/>
        </w:rPr>
        <w:t>、其他</w:t>
      </w:r>
    </w:p>
    <w:p w14:paraId="1E0D38C1">
      <w:pPr>
        <w:widowControl w:val="0"/>
        <w:spacing w:after="12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1、甲方不允许项目部人员擅自变更本合同以及以甲方或甲方项目部名义对外借款。甲方与乙方之间签订的任何合同、协议、补充合同、承诺书、确认单等均以甲方</w:t>
      </w:r>
      <w:r>
        <w:rPr>
          <w:rFonts w:hint="eastAsia" w:ascii="仿宋" w:hAnsi="仿宋" w:eastAsia="仿宋" w:cs="仿宋"/>
          <w:bCs/>
          <w:kern w:val="0"/>
          <w:sz w:val="24"/>
          <w:szCs w:val="24"/>
          <w:lang w:val="en-US" w:eastAsia="zh-CN" w:bidi="ar-SA"/>
        </w:rPr>
        <w:t>委派项目经理签字并加盖公司公章或公司合同专用章</w:t>
      </w:r>
      <w:r>
        <w:rPr>
          <w:rFonts w:hint="eastAsia" w:ascii="仿宋" w:hAnsi="仿宋" w:eastAsia="仿宋" w:cs="Times New Roman"/>
          <w:kern w:val="2"/>
          <w:sz w:val="24"/>
          <w:szCs w:val="24"/>
          <w:lang w:val="en-US" w:eastAsia="zh-CN" w:bidi="ar-SA"/>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3A431F63">
      <w:pPr>
        <w:widowControl w:val="0"/>
        <w:spacing w:after="120" w:line="360" w:lineRule="auto"/>
        <w:ind w:firstLine="480" w:firstLineChars="200"/>
        <w:jc w:val="both"/>
        <w:rPr>
          <w:rFonts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2、</w:t>
      </w:r>
      <w:r>
        <w:rPr>
          <w:rFonts w:hint="eastAsia" w:ascii="仿宋" w:hAnsi="仿宋" w:eastAsia="仿宋" w:cs="Times New Roman"/>
          <w:kern w:val="2"/>
          <w:sz w:val="24"/>
          <w:szCs w:val="24"/>
          <w:lang w:val="zh-CN" w:eastAsia="zh-CN" w:bidi="ar-SA"/>
        </w:rPr>
        <w:t>乙方已按甲方需求，将合同货物全部合格地交给甲方，并完成本项目的需求供应，甲方根据乙方</w:t>
      </w:r>
      <w:r>
        <w:rPr>
          <w:rFonts w:hint="eastAsia" w:ascii="仿宋" w:hAnsi="仿宋" w:eastAsia="仿宋" w:cs="Times New Roman"/>
          <w:kern w:val="2"/>
          <w:sz w:val="24"/>
          <w:szCs w:val="24"/>
          <w:lang w:val="en-US" w:eastAsia="zh-CN" w:bidi="ar-SA"/>
        </w:rPr>
        <w:t>材料</w:t>
      </w:r>
      <w:r>
        <w:rPr>
          <w:rFonts w:hint="eastAsia" w:ascii="仿宋" w:hAnsi="仿宋" w:eastAsia="仿宋" w:cs="Times New Roman"/>
          <w:kern w:val="2"/>
          <w:sz w:val="24"/>
          <w:szCs w:val="24"/>
          <w:lang w:val="zh-CN" w:eastAsia="zh-CN" w:bidi="ar-SA"/>
        </w:rPr>
        <w:t>供应</w:t>
      </w:r>
      <w:r>
        <w:rPr>
          <w:rFonts w:hint="eastAsia" w:ascii="仿宋" w:hAnsi="仿宋" w:eastAsia="仿宋" w:cs="Times New Roman"/>
          <w:kern w:val="2"/>
          <w:sz w:val="24"/>
          <w:szCs w:val="24"/>
          <w:lang w:val="en-US" w:eastAsia="zh-CN" w:bidi="ar-SA"/>
        </w:rPr>
        <w:t>量</w:t>
      </w:r>
      <w:r>
        <w:rPr>
          <w:rFonts w:hint="eastAsia" w:ascii="仿宋" w:hAnsi="仿宋" w:eastAsia="仿宋" w:cs="Times New Roman"/>
          <w:kern w:val="2"/>
          <w:sz w:val="24"/>
          <w:szCs w:val="24"/>
          <w:lang w:val="zh-CN" w:eastAsia="zh-CN" w:bidi="ar-SA"/>
        </w:rPr>
        <w:t>已全额向乙方支付全部材料货款，双方均</w:t>
      </w:r>
      <w:r>
        <w:rPr>
          <w:rFonts w:hint="eastAsia" w:ascii="仿宋" w:hAnsi="仿宋" w:eastAsia="仿宋" w:cs="Times New Roman"/>
          <w:kern w:val="2"/>
          <w:sz w:val="24"/>
          <w:szCs w:val="24"/>
          <w:lang w:val="en-US" w:eastAsia="zh-CN" w:bidi="ar-SA"/>
        </w:rPr>
        <w:t>已履行完毕本</w:t>
      </w:r>
      <w:r>
        <w:rPr>
          <w:rFonts w:hint="eastAsia" w:ascii="仿宋" w:hAnsi="仿宋" w:eastAsia="仿宋" w:cs="Times New Roman"/>
          <w:kern w:val="2"/>
          <w:sz w:val="24"/>
          <w:szCs w:val="24"/>
          <w:lang w:val="zh-CN" w:eastAsia="zh-CN" w:bidi="ar-SA"/>
        </w:rPr>
        <w:t>合同义务时，合同终止。</w:t>
      </w:r>
    </w:p>
    <w:p w14:paraId="3D39B78B">
      <w:pPr>
        <w:tabs>
          <w:tab w:val="left" w:pos="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rPr>
        <w:t>3</w:t>
      </w:r>
      <w:r>
        <w:rPr>
          <w:rFonts w:hint="eastAsia" w:ascii="仿宋" w:hAnsi="仿宋" w:eastAsia="仿宋" w:cs="Times New Roman"/>
          <w:sz w:val="24"/>
          <w:szCs w:val="24"/>
          <w:lang w:val="zh-CN"/>
        </w:rPr>
        <w:t>、乙方报价文件所涉及的内容和承诺的事项，将成为本合同的有效组织部分；合同如有未尽事宜，双方共同协商解决，甲乙双方另立补充协议予以完善。</w:t>
      </w:r>
    </w:p>
    <w:p w14:paraId="363876BF">
      <w:pPr>
        <w:tabs>
          <w:tab w:val="left" w:pos="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rPr>
        <w:t>4</w:t>
      </w:r>
      <w:r>
        <w:rPr>
          <w:rFonts w:hint="eastAsia" w:ascii="仿宋" w:hAnsi="仿宋" w:eastAsia="仿宋" w:cs="Times New Roman"/>
          <w:sz w:val="24"/>
          <w:szCs w:val="24"/>
          <w:lang w:val="zh-CN"/>
        </w:rPr>
        <w:t>、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64C966FC">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甲方地址：</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p>
    <w:p w14:paraId="617F51C4">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乙方地址：</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p>
    <w:p w14:paraId="2D195C0E">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5、本合同一式</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份，甲方执</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份，乙方执</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份，具有同等的法律效力；</w:t>
      </w:r>
    </w:p>
    <w:p w14:paraId="384D56E8">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6、本合同在双方签字盖章后生效，双方履行完毕合同中全部责任后自然终止。</w:t>
      </w:r>
    </w:p>
    <w:p w14:paraId="735415EB">
      <w:pPr>
        <w:spacing w:line="360" w:lineRule="auto"/>
        <w:ind w:right="-874" w:rightChars="-416" w:firstLine="480" w:firstLineChars="200"/>
        <w:rPr>
          <w:rFonts w:hint="eastAsia" w:ascii="仿宋" w:hAnsi="仿宋" w:eastAsia="仿宋" w:cs="Times New Roman"/>
          <w:sz w:val="24"/>
          <w:szCs w:val="24"/>
        </w:rPr>
      </w:pPr>
      <w:r>
        <w:rPr>
          <w:rFonts w:hint="eastAsia" w:ascii="仿宋" w:hAnsi="仿宋" w:eastAsia="仿宋" w:cs="Times New Roman"/>
          <w:sz w:val="24"/>
          <w:szCs w:val="24"/>
        </w:rPr>
        <w:t>（本行以下无正文）</w:t>
      </w:r>
    </w:p>
    <w:p w14:paraId="7A235D48">
      <w:pPr>
        <w:tabs>
          <w:tab w:val="left" w:pos="0"/>
        </w:tabs>
        <w:autoSpaceDE w:val="0"/>
        <w:autoSpaceDN w:val="0"/>
        <w:spacing w:line="360" w:lineRule="auto"/>
        <w:ind w:firstLine="480" w:firstLineChars="200"/>
        <w:rPr>
          <w:rFonts w:hint="eastAsia" w:ascii="仿宋" w:hAnsi="仿宋" w:eastAsia="仿宋" w:cs="Times New Roman"/>
          <w:sz w:val="24"/>
          <w:szCs w:val="24"/>
          <w:lang w:val="zh-CN"/>
        </w:rPr>
      </w:pPr>
    </w:p>
    <w:p w14:paraId="22B8B1DF">
      <w:pPr>
        <w:widowControl w:val="0"/>
        <w:spacing w:after="120"/>
        <w:jc w:val="both"/>
        <w:rPr>
          <w:rFonts w:hint="eastAsia" w:ascii="方正书宋简体" w:hAnsi="Times New Roman" w:eastAsia="方正书宋简体" w:cs="Times New Roman"/>
          <w:kern w:val="2"/>
          <w:sz w:val="24"/>
          <w:szCs w:val="24"/>
          <w:lang w:val="en-US" w:eastAsia="zh-CN" w:bidi="ar-SA"/>
        </w:rPr>
      </w:pPr>
    </w:p>
    <w:tbl>
      <w:tblPr>
        <w:tblStyle w:val="8"/>
        <w:tblW w:w="9392" w:type="dxa"/>
        <w:tblInd w:w="0" w:type="dxa"/>
        <w:tblLayout w:type="autofit"/>
        <w:tblCellMar>
          <w:top w:w="0" w:type="dxa"/>
          <w:left w:w="108" w:type="dxa"/>
          <w:bottom w:w="0" w:type="dxa"/>
          <w:right w:w="108" w:type="dxa"/>
        </w:tblCellMar>
      </w:tblPr>
      <w:tblGrid>
        <w:gridCol w:w="4722"/>
        <w:gridCol w:w="4670"/>
      </w:tblGrid>
      <w:tr w14:paraId="1310F15F">
        <w:tblPrEx>
          <w:tblCellMar>
            <w:top w:w="0" w:type="dxa"/>
            <w:left w:w="108" w:type="dxa"/>
            <w:bottom w:w="0" w:type="dxa"/>
            <w:right w:w="108" w:type="dxa"/>
          </w:tblCellMar>
        </w:tblPrEx>
        <w:trPr>
          <w:trHeight w:val="2890" w:hRule="atLeast"/>
        </w:trPr>
        <w:tc>
          <w:tcPr>
            <w:tcW w:w="4722" w:type="dxa"/>
            <w:noWrap w:val="0"/>
            <w:vAlign w:val="top"/>
          </w:tcPr>
          <w:p w14:paraId="4D4BAB96">
            <w:pPr>
              <w:autoSpaceDE w:val="0"/>
              <w:autoSpaceDN w:val="0"/>
              <w:spacing w:line="600" w:lineRule="auto"/>
              <w:jc w:val="left"/>
              <w:rPr>
                <w:rFonts w:hint="eastAsia" w:ascii="仿宋" w:hAnsi="仿宋" w:eastAsia="仿宋" w:cs="Times New Roman"/>
                <w:sz w:val="24"/>
                <w:szCs w:val="24"/>
              </w:rPr>
            </w:pPr>
            <w:r>
              <w:rPr>
                <w:rFonts w:hint="eastAsia" w:ascii="仿宋" w:hAnsi="仿宋" w:eastAsia="仿宋" w:cs="Times New Roman"/>
                <w:sz w:val="24"/>
                <w:szCs w:val="24"/>
              </w:rPr>
              <w:t>甲方：</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(盖章)</w:t>
            </w:r>
          </w:p>
          <w:p w14:paraId="12D310E4">
            <w:pPr>
              <w:autoSpaceDE w:val="0"/>
              <w:autoSpaceDN w:val="0"/>
              <w:spacing w:line="600" w:lineRule="auto"/>
              <w:jc w:val="left"/>
              <w:rPr>
                <w:rFonts w:hint="eastAsia" w:ascii="仿宋" w:hAnsi="仿宋" w:eastAsia="仿宋" w:cs="Times New Roman"/>
                <w:sz w:val="24"/>
                <w:szCs w:val="24"/>
              </w:rPr>
            </w:pPr>
            <w:r>
              <w:rPr>
                <w:rFonts w:hint="eastAsia" w:ascii="仿宋" w:hAnsi="仿宋" w:eastAsia="仿宋" w:cs="Times New Roman"/>
                <w:sz w:val="24"/>
                <w:szCs w:val="24"/>
              </w:rPr>
              <w:t>法定代表人:</w:t>
            </w:r>
          </w:p>
          <w:p w14:paraId="3C8FCDA1">
            <w:pPr>
              <w:autoSpaceDE w:val="0"/>
              <w:autoSpaceDN w:val="0"/>
              <w:spacing w:line="600" w:lineRule="auto"/>
              <w:jc w:val="left"/>
              <w:rPr>
                <w:rFonts w:hint="eastAsia" w:ascii="仿宋" w:hAnsi="仿宋" w:eastAsia="仿宋" w:cs="Times New Roman"/>
                <w:sz w:val="24"/>
                <w:szCs w:val="24"/>
              </w:rPr>
            </w:pPr>
            <w:r>
              <w:rPr>
                <w:rFonts w:hint="eastAsia" w:ascii="仿宋" w:hAnsi="仿宋" w:eastAsia="仿宋" w:cs="Times New Roman"/>
                <w:sz w:val="24"/>
                <w:szCs w:val="24"/>
              </w:rPr>
              <w:t>或委托代理人：</w:t>
            </w:r>
          </w:p>
          <w:p w14:paraId="5B359547">
            <w:pPr>
              <w:autoSpaceDE w:val="0"/>
              <w:autoSpaceDN w:val="0"/>
              <w:spacing w:line="600" w:lineRule="auto"/>
              <w:jc w:val="left"/>
              <w:rPr>
                <w:rFonts w:hint="eastAsia" w:ascii="仿宋" w:hAnsi="仿宋" w:eastAsia="仿宋" w:cs="Times New Roman"/>
                <w:sz w:val="24"/>
                <w:szCs w:val="24"/>
              </w:rPr>
            </w:pPr>
            <w:r>
              <w:rPr>
                <w:rFonts w:hint="eastAsia" w:ascii="仿宋" w:hAnsi="仿宋" w:eastAsia="仿宋" w:cs="Times New Roman"/>
                <w:sz w:val="24"/>
                <w:szCs w:val="24"/>
              </w:rPr>
              <w:t>签订时间：</w:t>
            </w:r>
          </w:p>
        </w:tc>
        <w:tc>
          <w:tcPr>
            <w:tcW w:w="4670" w:type="dxa"/>
            <w:noWrap w:val="0"/>
            <w:vAlign w:val="top"/>
          </w:tcPr>
          <w:p w14:paraId="61A36FC6">
            <w:pPr>
              <w:autoSpaceDE w:val="0"/>
              <w:autoSpaceDN w:val="0"/>
              <w:spacing w:line="600" w:lineRule="auto"/>
              <w:jc w:val="left"/>
              <w:rPr>
                <w:rFonts w:hint="eastAsia" w:ascii="仿宋" w:hAnsi="仿宋" w:eastAsia="仿宋" w:cs="Times New Roman"/>
                <w:sz w:val="24"/>
                <w:szCs w:val="24"/>
                <w:u w:val="single"/>
              </w:rPr>
            </w:pPr>
            <w:r>
              <w:rPr>
                <w:rFonts w:hint="eastAsia" w:ascii="仿宋" w:hAnsi="仿宋" w:eastAsia="仿宋" w:cs="Times New Roman"/>
                <w:sz w:val="24"/>
                <w:szCs w:val="24"/>
              </w:rPr>
              <w:t>乙方：</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（盖章）</w:t>
            </w:r>
          </w:p>
          <w:p w14:paraId="75A12514">
            <w:pPr>
              <w:autoSpaceDE w:val="0"/>
              <w:autoSpaceDN w:val="0"/>
              <w:spacing w:line="600" w:lineRule="auto"/>
              <w:jc w:val="left"/>
              <w:rPr>
                <w:rFonts w:hint="eastAsia" w:ascii="仿宋" w:hAnsi="仿宋" w:eastAsia="仿宋" w:cs="Times New Roman"/>
                <w:sz w:val="24"/>
                <w:szCs w:val="24"/>
              </w:rPr>
            </w:pPr>
            <w:r>
              <w:rPr>
                <w:rFonts w:hint="eastAsia" w:ascii="仿宋" w:hAnsi="仿宋" w:eastAsia="仿宋" w:cs="Times New Roman"/>
                <w:sz w:val="24"/>
                <w:szCs w:val="24"/>
              </w:rPr>
              <w:t>法定代表人:</w:t>
            </w:r>
          </w:p>
          <w:p w14:paraId="39BE32A8">
            <w:pPr>
              <w:autoSpaceDE w:val="0"/>
              <w:autoSpaceDN w:val="0"/>
              <w:spacing w:line="600" w:lineRule="auto"/>
              <w:jc w:val="left"/>
              <w:rPr>
                <w:rFonts w:hint="eastAsia" w:ascii="仿宋" w:hAnsi="仿宋" w:eastAsia="仿宋" w:cs="Times New Roman"/>
                <w:sz w:val="24"/>
                <w:szCs w:val="24"/>
              </w:rPr>
            </w:pPr>
            <w:r>
              <w:rPr>
                <w:rFonts w:hint="eastAsia" w:ascii="仿宋" w:hAnsi="仿宋" w:eastAsia="仿宋" w:cs="Times New Roman"/>
                <w:sz w:val="24"/>
                <w:szCs w:val="24"/>
              </w:rPr>
              <w:t xml:space="preserve">或委托代理人： </w:t>
            </w:r>
          </w:p>
          <w:p w14:paraId="494890A4">
            <w:pPr>
              <w:autoSpaceDE w:val="0"/>
              <w:autoSpaceDN w:val="0"/>
              <w:spacing w:line="600" w:lineRule="auto"/>
              <w:jc w:val="left"/>
              <w:rPr>
                <w:rFonts w:hint="eastAsia" w:ascii="仿宋" w:hAnsi="仿宋" w:eastAsia="仿宋" w:cs="Times New Roman"/>
                <w:sz w:val="24"/>
                <w:szCs w:val="24"/>
              </w:rPr>
            </w:pPr>
            <w:r>
              <w:rPr>
                <w:rFonts w:hint="eastAsia" w:ascii="仿宋" w:hAnsi="仿宋" w:eastAsia="仿宋" w:cs="Times New Roman"/>
                <w:sz w:val="24"/>
                <w:szCs w:val="24"/>
              </w:rPr>
              <w:t>签订时间：</w:t>
            </w:r>
          </w:p>
        </w:tc>
      </w:tr>
    </w:tbl>
    <w:p w14:paraId="2162F65B">
      <w:pPr>
        <w:autoSpaceDE w:val="0"/>
        <w:autoSpaceDN w:val="0"/>
        <w:spacing w:line="360" w:lineRule="auto"/>
        <w:rPr>
          <w:rFonts w:hint="eastAsia" w:ascii="Times New Roman" w:hAnsi="Times New Roman" w:eastAsia="宋体" w:cs="Times New Roman"/>
          <w:szCs w:val="21"/>
        </w:rPr>
      </w:pPr>
    </w:p>
    <w:p w14:paraId="5325D90A">
      <w:pPr>
        <w:spacing w:line="360" w:lineRule="auto"/>
        <w:rPr>
          <w:rFonts w:hint="eastAsia" w:ascii="仿宋" w:hAnsi="仿宋" w:eastAsia="仿宋" w:cs="Times New Roman"/>
          <w:sz w:val="24"/>
        </w:rPr>
      </w:pPr>
    </w:p>
    <w:p w14:paraId="22D16B87">
      <w:pPr>
        <w:tabs>
          <w:tab w:val="left" w:pos="5220"/>
        </w:tabs>
        <w:spacing w:line="360" w:lineRule="auto"/>
        <w:rPr>
          <w:rFonts w:hint="eastAsia" w:ascii="仿宋" w:hAnsi="仿宋" w:eastAsia="仿宋" w:cs="Times New Roman"/>
          <w:sz w:val="24"/>
        </w:rPr>
      </w:pPr>
    </w:p>
    <w:p w14:paraId="4CCC9387">
      <w:pPr>
        <w:tabs>
          <w:tab w:val="left" w:pos="5220"/>
        </w:tabs>
        <w:spacing w:line="360" w:lineRule="auto"/>
        <w:rPr>
          <w:rFonts w:hint="eastAsia" w:ascii="仿宋" w:hAnsi="仿宋" w:eastAsia="仿宋" w:cs="Times New Roman"/>
          <w:sz w:val="24"/>
        </w:rPr>
      </w:pPr>
    </w:p>
    <w:p w14:paraId="429CF4C7">
      <w:pPr>
        <w:tabs>
          <w:tab w:val="left" w:pos="5220"/>
        </w:tabs>
        <w:spacing w:line="360" w:lineRule="auto"/>
        <w:rPr>
          <w:rFonts w:hint="eastAsia" w:ascii="仿宋" w:hAnsi="仿宋" w:eastAsia="仿宋" w:cs="Times New Roman"/>
          <w:sz w:val="24"/>
        </w:rPr>
      </w:pPr>
    </w:p>
    <w:p w14:paraId="66471209">
      <w:pPr>
        <w:rPr>
          <w:rFonts w:hint="eastAsia"/>
          <w:lang w:val="en-US" w:eastAsia="zh-CN"/>
        </w:rPr>
      </w:pPr>
      <w:r>
        <w:rPr>
          <w:rFonts w:hint="eastAsia"/>
          <w:lang w:val="en-US" w:eastAsia="zh-CN"/>
        </w:rPr>
        <w:br w:type="page"/>
      </w:r>
    </w:p>
    <w:p w14:paraId="7FF5B2CF">
      <w:pPr>
        <w:rPr>
          <w:rFonts w:hint="eastAsia"/>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6" w:name="_Toc27313"/>
      <w:r>
        <w:rPr>
          <w:rFonts w:hint="eastAsia" w:ascii="宋体" w:hAnsi="宋体" w:eastAsia="宋体" w:cs="宋体"/>
          <w:b/>
          <w:bCs/>
          <w:color w:val="auto"/>
          <w:kern w:val="0"/>
          <w:sz w:val="32"/>
          <w:szCs w:val="32"/>
          <w:highlight w:val="none"/>
          <w:lang w:val="en-US" w:eastAsia="zh-CN"/>
        </w:rPr>
        <w:t>第六部分  响应文件格式</w:t>
      </w:r>
      <w:bookmarkEnd w:id="16"/>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广东省惠州市惠东县吉隆镇污水处理提升工程项目（二期）</w:t>
      </w:r>
    </w:p>
    <w:p w14:paraId="59303F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（编号11号）管材及零星配件</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7" w:name="_Toc486837000"/>
      <w:bookmarkStart w:id="18" w:name="_Toc480462724"/>
      <w:bookmarkStart w:id="19" w:name="_Toc474920011"/>
      <w:bookmarkStart w:id="20" w:name="_Toc39826987"/>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7"/>
    <w:bookmarkEnd w:id="18"/>
    <w:bookmarkEnd w:id="19"/>
    <w:bookmarkEnd w:id="20"/>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ind w:firstLine="640" w:firstLineChars="200"/>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footerReference r:id="rId7"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FBFB0139-F02B-42E3-BB9A-52D643BE68CD}"/>
  </w:font>
  <w:font w:name="仿宋">
    <w:panose1 w:val="02010609060101010101"/>
    <w:charset w:val="86"/>
    <w:family w:val="auto"/>
    <w:pitch w:val="default"/>
    <w:sig w:usb0="800002BF" w:usb1="38CF7CFA" w:usb2="00000016" w:usb3="00000000" w:csb0="00040001" w:csb1="00000000"/>
    <w:embedRegular r:id="rId2" w:fontKey="{A97E38BC-9C32-4F3C-9C4F-3C7804695E3A}"/>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embedRegular r:id="rId3" w:fontKey="{4DFA27B1-EA04-417E-ABCA-1AFD68170E7E}"/>
  </w:font>
  <w:font w:name="Arial Unicode MS">
    <w:altName w:val="宋体"/>
    <w:panose1 w:val="020B0604020202020204"/>
    <w:charset w:val="86"/>
    <w:family w:val="roman"/>
    <w:pitch w:val="default"/>
    <w:sig w:usb0="00000000" w:usb1="00000000" w:usb2="0000003F" w:usb3="00000000" w:csb0="603F01FF" w:csb1="FFFF0000"/>
    <w:embedRegular r:id="rId4" w:fontKey="{5B0B20D5-F130-4DB9-8C73-BAD69704E8A7}"/>
  </w:font>
  <w:font w:name="等线">
    <w:altName w:val="微软雅黑"/>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方正书宋简体">
    <w:panose1 w:val="02000000000000000000"/>
    <w:charset w:val="86"/>
    <w:family w:val="auto"/>
    <w:pitch w:val="default"/>
    <w:sig w:usb0="A00002BF" w:usb1="184F6CFA" w:usb2="00000012" w:usb3="00000000" w:csb0="00040001" w:csb1="00000000"/>
    <w:embedRegular r:id="rId5" w:fontKey="{F7B3DF4C-6635-4A4F-AC49-E9C3640577F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0FF93">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4"/>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BB4F0CC6"/>
    <w:multiLevelType w:val="singleLevel"/>
    <w:tmpl w:val="BB4F0CC6"/>
    <w:lvl w:ilvl="0" w:tentative="0">
      <w:start w:val="3"/>
      <w:numFmt w:val="chineseCounting"/>
      <w:suff w:val="nothing"/>
      <w:lvlText w:val="%1、"/>
      <w:lvlJc w:val="left"/>
      <w:rPr>
        <w:rFonts w:hint="eastAsia"/>
      </w:rPr>
    </w:lvl>
  </w:abstractNum>
  <w:abstractNum w:abstractNumId="2">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124B7E52"/>
    <w:rsid w:val="12516798"/>
    <w:rsid w:val="13A36145"/>
    <w:rsid w:val="1673393D"/>
    <w:rsid w:val="1AEF2BB7"/>
    <w:rsid w:val="2B7B2642"/>
    <w:rsid w:val="30D675AD"/>
    <w:rsid w:val="31C33762"/>
    <w:rsid w:val="33F707E2"/>
    <w:rsid w:val="34A80A94"/>
    <w:rsid w:val="3B7579C8"/>
    <w:rsid w:val="3E374C21"/>
    <w:rsid w:val="403F7575"/>
    <w:rsid w:val="412933DD"/>
    <w:rsid w:val="43424991"/>
    <w:rsid w:val="45834DF5"/>
    <w:rsid w:val="45E14C32"/>
    <w:rsid w:val="4A537A00"/>
    <w:rsid w:val="4D496E6B"/>
    <w:rsid w:val="50B709F1"/>
    <w:rsid w:val="575710D7"/>
    <w:rsid w:val="5C1B2DDE"/>
    <w:rsid w:val="5D747763"/>
    <w:rsid w:val="604B6F0C"/>
    <w:rsid w:val="62406095"/>
    <w:rsid w:val="672A074E"/>
    <w:rsid w:val="68107747"/>
    <w:rsid w:val="68AD4C9B"/>
    <w:rsid w:val="6C7B37C0"/>
    <w:rsid w:val="6CC57002"/>
    <w:rsid w:val="6D307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styleId="4">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5">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6">
    <w:name w:val="toc 1"/>
    <w:basedOn w:val="1"/>
    <w:next w:val="1"/>
    <w:qFormat/>
    <w:uiPriority w:val="0"/>
  </w:style>
  <w:style w:type="paragraph" w:styleId="7">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0">
    <w:name w:val="Strong"/>
    <w:qFormat/>
    <w:uiPriority w:val="0"/>
    <w:rPr>
      <w:b/>
      <w:bCs/>
    </w:rPr>
  </w:style>
  <w:style w:type="character" w:styleId="11">
    <w:name w:val="page number"/>
    <w:qFormat/>
    <w:uiPriority w:val="0"/>
  </w:style>
  <w:style w:type="paragraph" w:customStyle="1" w:styleId="12">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character" w:customStyle="1" w:styleId="13">
    <w:name w:val="font121"/>
    <w:basedOn w:val="9"/>
    <w:qFormat/>
    <w:uiPriority w:val="0"/>
    <w:rPr>
      <w:rFonts w:hint="eastAsia" w:ascii="宋体" w:hAnsi="宋体" w:eastAsia="宋体" w:cs="宋体"/>
      <w:color w:val="000000"/>
      <w:sz w:val="28"/>
      <w:szCs w:val="28"/>
      <w:u w:val="none"/>
    </w:rPr>
  </w:style>
  <w:style w:type="character" w:customStyle="1" w:styleId="14">
    <w:name w:val="font31"/>
    <w:basedOn w:val="9"/>
    <w:qFormat/>
    <w:uiPriority w:val="0"/>
    <w:rPr>
      <w:rFonts w:hint="eastAsia" w:ascii="宋体" w:hAnsi="宋体" w:eastAsia="宋体" w:cs="宋体"/>
      <w:b/>
      <w:bCs/>
      <w:color w:val="000000"/>
      <w:sz w:val="48"/>
      <w:szCs w:val="48"/>
      <w:u w:val="none"/>
    </w:rPr>
  </w:style>
  <w:style w:type="character" w:customStyle="1" w:styleId="15">
    <w:name w:val="font112"/>
    <w:basedOn w:val="9"/>
    <w:qFormat/>
    <w:uiPriority w:val="0"/>
    <w:rPr>
      <w:rFonts w:hint="eastAsia" w:ascii="宋体" w:hAnsi="宋体" w:eastAsia="宋体" w:cs="宋体"/>
      <w:color w:val="000000"/>
      <w:sz w:val="28"/>
      <w:szCs w:val="28"/>
      <w:u w:val="none"/>
    </w:rPr>
  </w:style>
  <w:style w:type="character" w:customStyle="1" w:styleId="16">
    <w:name w:val="font101"/>
    <w:basedOn w:val="9"/>
    <w:qFormat/>
    <w:uiPriority w:val="0"/>
    <w:rPr>
      <w:rFonts w:hint="eastAsia" w:ascii="宋体" w:hAnsi="宋体" w:eastAsia="宋体" w:cs="宋体"/>
      <w:color w:val="000000"/>
      <w:sz w:val="28"/>
      <w:szCs w:val="28"/>
      <w:u w:val="none"/>
    </w:rPr>
  </w:style>
  <w:style w:type="character" w:customStyle="1" w:styleId="17">
    <w:name w:val="font21"/>
    <w:basedOn w:val="9"/>
    <w:qFormat/>
    <w:uiPriority w:val="0"/>
    <w:rPr>
      <w:rFonts w:hint="eastAsia" w:ascii="宋体" w:hAnsi="宋体" w:eastAsia="宋体" w:cs="宋体"/>
      <w:color w:val="000000"/>
      <w:sz w:val="24"/>
      <w:szCs w:val="24"/>
      <w:u w:val="none"/>
    </w:rPr>
  </w:style>
  <w:style w:type="character" w:customStyle="1" w:styleId="18">
    <w:name w:val="font91"/>
    <w:basedOn w:val="9"/>
    <w:qFormat/>
    <w:uiPriority w:val="0"/>
    <w:rPr>
      <w:rFonts w:hint="eastAsia" w:ascii="宋体" w:hAnsi="宋体" w:eastAsia="宋体" w:cs="宋体"/>
      <w:b/>
      <w:bCs/>
      <w:color w:val="000000"/>
      <w:sz w:val="40"/>
      <w:szCs w:val="40"/>
      <w:u w:val="none"/>
    </w:rPr>
  </w:style>
  <w:style w:type="character" w:customStyle="1" w:styleId="19">
    <w:name w:val="font51"/>
    <w:basedOn w:val="9"/>
    <w:qFormat/>
    <w:uiPriority w:val="0"/>
    <w:rPr>
      <w:rFonts w:hint="eastAsia" w:ascii="宋体" w:hAnsi="宋体" w:eastAsia="宋体" w:cs="宋体"/>
      <w:b/>
      <w:bCs/>
      <w:color w:val="000000"/>
      <w:sz w:val="20"/>
      <w:szCs w:val="20"/>
      <w:u w:val="none"/>
    </w:rPr>
  </w:style>
  <w:style w:type="character" w:customStyle="1" w:styleId="20">
    <w:name w:val="font81"/>
    <w:qFormat/>
    <w:uiPriority w:val="0"/>
    <w:rPr>
      <w:rFonts w:hint="eastAsia" w:ascii="宋体" w:hAnsi="宋体" w:eastAsia="宋体" w:cs="宋体"/>
      <w:color w:val="000000"/>
      <w:sz w:val="24"/>
      <w:szCs w:val="24"/>
      <w:u w:val="none"/>
    </w:rPr>
  </w:style>
  <w:style w:type="character" w:customStyle="1" w:styleId="21">
    <w:name w:val="font131"/>
    <w:basedOn w:val="9"/>
    <w:qFormat/>
    <w:uiPriority w:val="0"/>
    <w:rPr>
      <w:rFonts w:hint="eastAsia" w:ascii="仿宋" w:hAnsi="仿宋" w:eastAsia="仿宋" w:cs="仿宋"/>
      <w:color w:val="000000"/>
      <w:sz w:val="24"/>
      <w:szCs w:val="24"/>
      <w:u w:val="single"/>
    </w:rPr>
  </w:style>
  <w:style w:type="character" w:customStyle="1" w:styleId="22">
    <w:name w:val="font61"/>
    <w:basedOn w:val="9"/>
    <w:qFormat/>
    <w:uiPriority w:val="0"/>
    <w:rPr>
      <w:rFonts w:hint="eastAsia" w:ascii="仿宋" w:hAnsi="仿宋" w:eastAsia="仿宋" w:cs="仿宋"/>
      <w:color w:val="000000"/>
      <w:sz w:val="24"/>
      <w:szCs w:val="24"/>
      <w:u w:val="none"/>
    </w:rPr>
  </w:style>
  <w:style w:type="character" w:customStyle="1" w:styleId="23">
    <w:name w:val="font122"/>
    <w:basedOn w:val="9"/>
    <w:qFormat/>
    <w:uiPriority w:val="0"/>
    <w:rPr>
      <w:rFonts w:hint="eastAsia" w:ascii="仿宋" w:hAnsi="仿宋" w:eastAsia="仿宋" w:cs="仿宋"/>
      <w:color w:val="000000"/>
      <w:sz w:val="24"/>
      <w:szCs w:val="24"/>
      <w:u w:val="single"/>
    </w:rPr>
  </w:style>
  <w:style w:type="character" w:customStyle="1" w:styleId="24">
    <w:name w:val="font141"/>
    <w:basedOn w:val="9"/>
    <w:qFormat/>
    <w:uiPriority w:val="0"/>
    <w:rPr>
      <w:rFonts w:hint="eastAsia" w:ascii="仿宋" w:hAnsi="仿宋" w:eastAsia="仿宋" w:cs="仿宋"/>
      <w:color w:val="000000"/>
      <w:sz w:val="24"/>
      <w:szCs w:val="24"/>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1946</Words>
  <Characters>2123</Characters>
  <Lines>0</Lines>
  <Paragraphs>0</Paragraphs>
  <TotalTime>3</TotalTime>
  <ScaleCrop>false</ScaleCrop>
  <LinksUpToDate>false</LinksUpToDate>
  <CharactersWithSpaces>2185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2025-07-10T03:10:17Z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338B93940FFC41CCA6104E133CB62023_13</vt:lpwstr>
  </property>
  <property fmtid="{D5CDD505-2E9C-101B-9397-08002B2CF9AE}" pid="4" name="KSOTemplateDocerSaveRecord">
    <vt:lpwstr>eyJoZGlkIjoiZTcwNDdlYTI1OTFhMDMyZjIzNDQ4NGFmYzk0ZjJkYmQiLCJ1c2VySWQiOiIxNjY4MjkxOTUwIn0=</vt:lpwstr>
  </property>
</Properties>
</file>