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03322C6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（编号01号）施工分包（土方、槽钢、拉森钢板桩支护工程）</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2025年5月12日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17</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33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）的委托，诚邀国内合格参选人就广东省惠州市惠东县吉隆镇污水处理提升工程项目（二期）（编号01号）施工分包（土方、槽钢、拉森钢板桩支护工程）</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承包人现场施工所需的施工分包（土方、槽钢、拉森钢板桩支护工程）</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2025年5月16日12:00。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公告发布时间：2025年5月12日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7164"/>
      <w:bookmarkStart w:id="3" w:name="_Toc144974496"/>
      <w:bookmarkStart w:id="4" w:name="_Toc16761"/>
      <w:bookmarkStart w:id="5" w:name="_Toc392345907"/>
      <w:bookmarkStart w:id="6" w:name="_Toc152045528"/>
      <w:bookmarkStart w:id="7" w:name="_Toc500491903"/>
      <w:bookmarkStart w:id="8" w:name="_Toc21380"/>
      <w:bookmarkStart w:id="9" w:name="_Toc152042304"/>
      <w:bookmarkStart w:id="10" w:name="_Toc16780"/>
      <w:bookmarkStart w:id="11" w:name="_Toc229646710"/>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广东省惠州市惠东县吉隆镇污水处理提升工程项目（二期）（编号01号）施工分包（土方、槽钢、拉森钢板桩支护工程）</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承包人现场施工所需的施工分包（土方、槽钢、拉森钢板桩支护工程）</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5月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2025年5月16日12:00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广东省惠州市惠东县吉隆镇污水处理提升工程项目（二期）（编号01号）施工分包（土方、槽钢、拉森钢板桩支护工程）</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Style w:val="8"/>
        <w:tblpPr w:leftFromText="180" w:rightFromText="180" w:vertAnchor="text" w:tblpXSpec="center" w:tblpY="1"/>
        <w:tblOverlap w:val="never"/>
        <w:tblW w:w="11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6"/>
        <w:gridCol w:w="1416"/>
        <w:gridCol w:w="1870"/>
        <w:gridCol w:w="1372"/>
        <w:gridCol w:w="417"/>
        <w:gridCol w:w="1016"/>
        <w:gridCol w:w="1316"/>
        <w:gridCol w:w="819"/>
        <w:gridCol w:w="1946"/>
      </w:tblGrid>
      <w:tr w14:paraId="78B39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1048" w:type="dxa"/>
            <w:gridSpan w:val="9"/>
            <w:tcBorders>
              <w:top w:val="nil"/>
              <w:left w:val="nil"/>
              <w:bottom w:val="nil"/>
              <w:right w:val="nil"/>
            </w:tcBorders>
            <w:shd w:val="clear" w:color="auto" w:fill="auto"/>
            <w:noWrap/>
            <w:vAlign w:val="bottom"/>
          </w:tcPr>
          <w:p w14:paraId="47D81B04">
            <w:pPr>
              <w:keepNext w:val="0"/>
              <w:keepLines w:val="0"/>
              <w:widowControl/>
              <w:suppressLineNumbers w:val="0"/>
              <w:jc w:val="center"/>
              <w:textAlignment w:val="bottom"/>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lang w:val="en-US" w:eastAsia="zh-CN" w:bidi="ar"/>
              </w:rPr>
              <w:t>土方、槽钢、拉森钢板桩支护工程专业分包合同工程量报价单</w:t>
            </w:r>
          </w:p>
        </w:tc>
      </w:tr>
      <w:tr w14:paraId="5B853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048" w:type="dxa"/>
            <w:gridSpan w:val="9"/>
            <w:tcBorders>
              <w:top w:val="nil"/>
              <w:left w:val="nil"/>
              <w:bottom w:val="nil"/>
              <w:right w:val="nil"/>
            </w:tcBorders>
            <w:shd w:val="clear" w:color="auto" w:fill="auto"/>
            <w:noWrap/>
            <w:vAlign w:val="bottom"/>
          </w:tcPr>
          <w:p w14:paraId="3337B7D2">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工程项目：</w:t>
            </w:r>
            <w:r>
              <w:rPr>
                <w:rFonts w:hint="eastAsia" w:ascii="仿宋" w:hAnsi="仿宋" w:eastAsia="仿宋" w:cs="仿宋"/>
                <w:i w:val="0"/>
                <w:iCs w:val="0"/>
                <w:color w:val="000000"/>
                <w:kern w:val="0"/>
                <w:sz w:val="28"/>
                <w:szCs w:val="28"/>
                <w:u w:val="single"/>
                <w:lang w:val="en-US" w:eastAsia="zh-CN" w:bidi="ar"/>
              </w:rPr>
              <w:t>广东省惠州市惠东县吉隆镇污水处理提升工程项目（</w:t>
            </w:r>
            <w:r>
              <w:rPr>
                <w:rFonts w:hint="eastAsia" w:ascii="仿宋" w:hAnsi="仿宋" w:eastAsia="仿宋" w:cs="仿宋"/>
                <w:i w:val="0"/>
                <w:iCs w:val="0"/>
                <w:color w:val="000000"/>
                <w:kern w:val="0"/>
                <w:sz w:val="28"/>
                <w:szCs w:val="28"/>
                <w:u w:val="none"/>
                <w:lang w:val="en-US" w:eastAsia="zh-CN" w:bidi="ar"/>
              </w:rPr>
              <w:t>二</w:t>
            </w:r>
            <w:r>
              <w:rPr>
                <w:rFonts w:hint="eastAsia" w:ascii="仿宋" w:hAnsi="仿宋" w:eastAsia="仿宋" w:cs="仿宋"/>
                <w:i w:val="0"/>
                <w:iCs w:val="0"/>
                <w:color w:val="000000"/>
                <w:kern w:val="0"/>
                <w:sz w:val="28"/>
                <w:szCs w:val="28"/>
                <w:u w:val="single"/>
                <w:lang w:val="en-US" w:eastAsia="zh-CN" w:bidi="ar"/>
              </w:rPr>
              <w:t>期）</w:t>
            </w:r>
            <w:r>
              <w:rPr>
                <w:rFonts w:hint="eastAsia" w:ascii="仿宋" w:hAnsi="仿宋" w:eastAsia="仿宋" w:cs="仿宋"/>
                <w:i w:val="0"/>
                <w:iCs w:val="0"/>
                <w:color w:val="000000"/>
                <w:kern w:val="0"/>
                <w:sz w:val="28"/>
                <w:szCs w:val="28"/>
                <w:u w:val="none"/>
                <w:lang w:val="en-US" w:eastAsia="zh-CN" w:bidi="ar"/>
              </w:rPr>
              <w:t xml:space="preserve">    合同段：</w:t>
            </w:r>
            <w:r>
              <w:rPr>
                <w:rStyle w:val="21"/>
                <w:sz w:val="28"/>
                <w:szCs w:val="28"/>
                <w:lang w:val="en-US" w:eastAsia="zh-CN" w:bidi="ar"/>
              </w:rPr>
              <w:t xml:space="preserve">  /</w:t>
            </w:r>
          </w:p>
        </w:tc>
      </w:tr>
      <w:tr w14:paraId="72039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048" w:type="dxa"/>
            <w:gridSpan w:val="9"/>
            <w:tcBorders>
              <w:top w:val="nil"/>
              <w:left w:val="nil"/>
              <w:bottom w:val="nil"/>
              <w:right w:val="nil"/>
            </w:tcBorders>
            <w:shd w:val="clear" w:color="auto" w:fill="auto"/>
            <w:noWrap/>
            <w:vAlign w:val="bottom"/>
          </w:tcPr>
          <w:p w14:paraId="3C0F13AF">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分包专项工程：</w:t>
            </w:r>
            <w:r>
              <w:rPr>
                <w:rStyle w:val="21"/>
                <w:sz w:val="28"/>
                <w:szCs w:val="28"/>
                <w:lang w:val="en-US" w:eastAsia="zh-CN" w:bidi="ar"/>
              </w:rPr>
              <w:t>附属工程</w:t>
            </w:r>
            <w:r>
              <w:rPr>
                <w:rFonts w:hint="eastAsia" w:ascii="仿宋" w:hAnsi="仿宋" w:eastAsia="仿宋" w:cs="仿宋"/>
                <w:i w:val="0"/>
                <w:iCs w:val="0"/>
                <w:color w:val="000000"/>
                <w:kern w:val="0"/>
                <w:sz w:val="28"/>
                <w:szCs w:val="28"/>
                <w:u w:val="none"/>
                <w:lang w:val="en-US" w:eastAsia="zh-CN" w:bidi="ar"/>
              </w:rPr>
              <w:t xml:space="preserve">                               分包人：  </w:t>
            </w:r>
          </w:p>
        </w:tc>
      </w:tr>
      <w:tr w14:paraId="6B4F4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7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F62B5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25E0E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清单编码</w:t>
            </w:r>
          </w:p>
        </w:tc>
        <w:tc>
          <w:tcPr>
            <w:tcW w:w="18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694DB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工程名称</w:t>
            </w:r>
          </w:p>
        </w:tc>
        <w:tc>
          <w:tcPr>
            <w:tcW w:w="137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440A8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项目特征</w:t>
            </w:r>
          </w:p>
        </w:tc>
        <w:tc>
          <w:tcPr>
            <w:tcW w:w="4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45425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单位</w:t>
            </w:r>
          </w:p>
        </w:tc>
        <w:tc>
          <w:tcPr>
            <w:tcW w:w="1016" w:type="dxa"/>
            <w:vMerge w:val="restart"/>
            <w:tcBorders>
              <w:top w:val="single" w:color="000000" w:sz="4" w:space="0"/>
              <w:left w:val="single" w:color="000000" w:sz="4" w:space="0"/>
              <w:bottom w:val="single" w:color="000000" w:sz="4" w:space="0"/>
              <w:right w:val="nil"/>
            </w:tcBorders>
            <w:shd w:val="clear" w:color="auto" w:fill="FFFFFF"/>
            <w:vAlign w:val="center"/>
          </w:tcPr>
          <w:p w14:paraId="3FD556A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316" w:type="dxa"/>
            <w:tcBorders>
              <w:top w:val="single" w:color="000000" w:sz="4" w:space="0"/>
              <w:left w:val="single" w:color="000000" w:sz="4" w:space="0"/>
              <w:bottom w:val="nil"/>
              <w:right w:val="nil"/>
            </w:tcBorders>
            <w:shd w:val="clear" w:color="auto" w:fill="FFFFFF"/>
            <w:vAlign w:val="center"/>
          </w:tcPr>
          <w:p w14:paraId="7391308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不含增值税单价</w:t>
            </w:r>
          </w:p>
        </w:tc>
        <w:tc>
          <w:tcPr>
            <w:tcW w:w="819" w:type="dxa"/>
            <w:tcBorders>
              <w:top w:val="single" w:color="000000" w:sz="4" w:space="0"/>
              <w:left w:val="single" w:color="000000" w:sz="4" w:space="0"/>
              <w:bottom w:val="nil"/>
              <w:right w:val="single" w:color="000000" w:sz="4" w:space="0"/>
            </w:tcBorders>
            <w:shd w:val="clear" w:color="auto" w:fill="FFFFFF"/>
            <w:vAlign w:val="center"/>
          </w:tcPr>
          <w:p w14:paraId="55C2CC2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不含增值税</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金额</w:t>
            </w:r>
          </w:p>
        </w:tc>
        <w:tc>
          <w:tcPr>
            <w:tcW w:w="1946" w:type="dxa"/>
            <w:vMerge w:val="restart"/>
            <w:tcBorders>
              <w:top w:val="single" w:color="000000" w:sz="4" w:space="0"/>
              <w:left w:val="nil"/>
              <w:bottom w:val="single" w:color="000000" w:sz="4" w:space="0"/>
              <w:right w:val="single" w:color="000000" w:sz="4" w:space="0"/>
            </w:tcBorders>
            <w:shd w:val="clear" w:color="auto" w:fill="FFFFFF"/>
            <w:vAlign w:val="center"/>
          </w:tcPr>
          <w:p w14:paraId="15DC7E7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工作内容</w:t>
            </w:r>
          </w:p>
        </w:tc>
      </w:tr>
      <w:tr w14:paraId="1DE82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7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8F8D6B">
            <w:pPr>
              <w:jc w:val="center"/>
              <w:rPr>
                <w:rFonts w:hint="eastAsia" w:ascii="宋体" w:hAnsi="宋体" w:eastAsia="宋体" w:cs="宋体"/>
                <w:b/>
                <w:bCs/>
                <w:i w:val="0"/>
                <w:iCs w:val="0"/>
                <w:color w:val="000000"/>
                <w:sz w:val="21"/>
                <w:szCs w:val="21"/>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3A588A">
            <w:pPr>
              <w:jc w:val="center"/>
              <w:rPr>
                <w:rFonts w:hint="eastAsia" w:ascii="宋体" w:hAnsi="宋体" w:eastAsia="宋体" w:cs="宋体"/>
                <w:b/>
                <w:bCs/>
                <w:i w:val="0"/>
                <w:iCs w:val="0"/>
                <w:color w:val="000000"/>
                <w:sz w:val="21"/>
                <w:szCs w:val="21"/>
                <w:u w:val="none"/>
              </w:rPr>
            </w:pPr>
          </w:p>
        </w:tc>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35F019">
            <w:pPr>
              <w:jc w:val="center"/>
              <w:rPr>
                <w:rFonts w:hint="eastAsia" w:ascii="宋体" w:hAnsi="宋体" w:eastAsia="宋体" w:cs="宋体"/>
                <w:b/>
                <w:bCs/>
                <w:i w:val="0"/>
                <w:iCs w:val="0"/>
                <w:color w:val="000000"/>
                <w:sz w:val="21"/>
                <w:szCs w:val="21"/>
                <w:u w:val="none"/>
              </w:rPr>
            </w:pPr>
          </w:p>
        </w:tc>
        <w:tc>
          <w:tcPr>
            <w:tcW w:w="137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FB30B4">
            <w:pPr>
              <w:jc w:val="center"/>
              <w:rPr>
                <w:rFonts w:hint="eastAsia" w:ascii="宋体" w:hAnsi="宋体" w:eastAsia="宋体" w:cs="宋体"/>
                <w:b/>
                <w:bCs/>
                <w:i w:val="0"/>
                <w:iCs w:val="0"/>
                <w:color w:val="000000"/>
                <w:sz w:val="21"/>
                <w:szCs w:val="21"/>
                <w:u w:val="none"/>
              </w:rPr>
            </w:pPr>
          </w:p>
        </w:tc>
        <w:tc>
          <w:tcPr>
            <w:tcW w:w="4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E063BE">
            <w:pPr>
              <w:jc w:val="center"/>
              <w:rPr>
                <w:rFonts w:hint="eastAsia" w:ascii="宋体" w:hAnsi="宋体" w:eastAsia="宋体" w:cs="宋体"/>
                <w:b/>
                <w:bCs/>
                <w:i w:val="0"/>
                <w:iCs w:val="0"/>
                <w:color w:val="000000"/>
                <w:sz w:val="21"/>
                <w:szCs w:val="21"/>
                <w:u w:val="none"/>
              </w:rPr>
            </w:pPr>
          </w:p>
        </w:tc>
        <w:tc>
          <w:tcPr>
            <w:tcW w:w="1016" w:type="dxa"/>
            <w:vMerge w:val="continue"/>
            <w:tcBorders>
              <w:top w:val="single" w:color="000000" w:sz="4" w:space="0"/>
              <w:left w:val="single" w:color="000000" w:sz="4" w:space="0"/>
              <w:bottom w:val="single" w:color="000000" w:sz="4" w:space="0"/>
              <w:right w:val="nil"/>
            </w:tcBorders>
            <w:shd w:val="clear" w:color="auto" w:fill="FFFFFF"/>
            <w:vAlign w:val="center"/>
          </w:tcPr>
          <w:p w14:paraId="4E0B27D4">
            <w:pPr>
              <w:jc w:val="center"/>
              <w:rPr>
                <w:rFonts w:hint="eastAsia" w:ascii="宋体" w:hAnsi="宋体" w:eastAsia="宋体" w:cs="宋体"/>
                <w:b/>
                <w:bCs/>
                <w:i w:val="0"/>
                <w:iCs w:val="0"/>
                <w:color w:val="000000"/>
                <w:sz w:val="21"/>
                <w:szCs w:val="21"/>
                <w:u w:val="none"/>
              </w:rPr>
            </w:pPr>
          </w:p>
        </w:tc>
        <w:tc>
          <w:tcPr>
            <w:tcW w:w="1316" w:type="dxa"/>
            <w:tcBorders>
              <w:top w:val="nil"/>
              <w:left w:val="single" w:color="000000" w:sz="4" w:space="0"/>
              <w:bottom w:val="single" w:color="000000" w:sz="4" w:space="0"/>
              <w:right w:val="nil"/>
            </w:tcBorders>
            <w:shd w:val="clear" w:color="auto" w:fill="FFFFFF"/>
            <w:vAlign w:val="center"/>
          </w:tcPr>
          <w:p w14:paraId="17D991B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(元)</w:t>
            </w:r>
          </w:p>
        </w:tc>
        <w:tc>
          <w:tcPr>
            <w:tcW w:w="819" w:type="dxa"/>
            <w:tcBorders>
              <w:top w:val="nil"/>
              <w:left w:val="single" w:color="000000" w:sz="4" w:space="0"/>
              <w:bottom w:val="single" w:color="000000" w:sz="4" w:space="0"/>
              <w:right w:val="single" w:color="000000" w:sz="4" w:space="0"/>
            </w:tcBorders>
            <w:shd w:val="clear" w:color="auto" w:fill="FFFFFF"/>
            <w:vAlign w:val="center"/>
          </w:tcPr>
          <w:p w14:paraId="156BD9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（元）</w:t>
            </w:r>
          </w:p>
        </w:tc>
        <w:tc>
          <w:tcPr>
            <w:tcW w:w="1946" w:type="dxa"/>
            <w:vMerge w:val="continue"/>
            <w:tcBorders>
              <w:top w:val="single" w:color="000000" w:sz="4" w:space="0"/>
              <w:left w:val="nil"/>
              <w:bottom w:val="single" w:color="000000" w:sz="4" w:space="0"/>
              <w:right w:val="single" w:color="000000" w:sz="4" w:space="0"/>
            </w:tcBorders>
            <w:shd w:val="clear" w:color="auto" w:fill="FFFFFF"/>
            <w:vAlign w:val="center"/>
          </w:tcPr>
          <w:p w14:paraId="0D9052D2">
            <w:pPr>
              <w:jc w:val="center"/>
              <w:rPr>
                <w:rFonts w:hint="eastAsia" w:ascii="宋体" w:hAnsi="宋体" w:eastAsia="宋体" w:cs="宋体"/>
                <w:b/>
                <w:bCs/>
                <w:i w:val="0"/>
                <w:iCs w:val="0"/>
                <w:color w:val="000000"/>
                <w:sz w:val="21"/>
                <w:szCs w:val="21"/>
                <w:u w:val="none"/>
              </w:rPr>
            </w:pPr>
          </w:p>
        </w:tc>
      </w:tr>
      <w:tr w14:paraId="7D5A5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475D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9AE90">
            <w:pPr>
              <w:jc w:val="center"/>
              <w:rPr>
                <w:rFonts w:hint="eastAsia" w:ascii="宋体" w:hAnsi="宋体" w:eastAsia="宋体" w:cs="宋体"/>
                <w:b/>
                <w:bCs/>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206C8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土方工程</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F7E77">
            <w:pPr>
              <w:jc w:val="center"/>
              <w:rPr>
                <w:rFonts w:hint="eastAsia" w:ascii="宋体" w:hAnsi="宋体" w:eastAsia="宋体" w:cs="宋体"/>
                <w:b/>
                <w:bCs/>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A5358">
            <w:pPr>
              <w:jc w:val="center"/>
              <w:rPr>
                <w:rFonts w:hint="eastAsia" w:ascii="宋体" w:hAnsi="宋体" w:eastAsia="宋体" w:cs="宋体"/>
                <w:b/>
                <w:bCs/>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D219E">
            <w:pPr>
              <w:jc w:val="center"/>
              <w:rPr>
                <w:rFonts w:hint="eastAsia" w:ascii="宋体" w:hAnsi="宋体" w:eastAsia="宋体" w:cs="宋体"/>
                <w:b/>
                <w:bCs/>
                <w:i w:val="0"/>
                <w:iCs w:val="0"/>
                <w:color w:val="000000"/>
                <w:sz w:val="21"/>
                <w:szCs w:val="21"/>
                <w:u w:val="none"/>
              </w:rPr>
            </w:pPr>
          </w:p>
        </w:tc>
        <w:tc>
          <w:tcPr>
            <w:tcW w:w="1316" w:type="dxa"/>
            <w:tcBorders>
              <w:top w:val="nil"/>
              <w:left w:val="single" w:color="000000" w:sz="4" w:space="0"/>
              <w:bottom w:val="single" w:color="000000" w:sz="4" w:space="0"/>
              <w:right w:val="single" w:color="000000" w:sz="4" w:space="0"/>
            </w:tcBorders>
            <w:shd w:val="clear" w:color="auto" w:fill="FFFFFF"/>
            <w:vAlign w:val="center"/>
          </w:tcPr>
          <w:p w14:paraId="0047DF50">
            <w:pPr>
              <w:jc w:val="center"/>
              <w:rPr>
                <w:rFonts w:hint="eastAsia" w:ascii="宋体" w:hAnsi="宋体" w:eastAsia="宋体" w:cs="宋体"/>
                <w:b/>
                <w:bCs/>
                <w:i w:val="0"/>
                <w:iCs w:val="0"/>
                <w:color w:val="000000"/>
                <w:sz w:val="21"/>
                <w:szCs w:val="21"/>
                <w:u w:val="none"/>
              </w:rPr>
            </w:pPr>
          </w:p>
        </w:tc>
        <w:tc>
          <w:tcPr>
            <w:tcW w:w="819" w:type="dxa"/>
            <w:tcBorders>
              <w:top w:val="nil"/>
              <w:left w:val="single" w:color="000000" w:sz="4" w:space="0"/>
              <w:bottom w:val="single" w:color="000000" w:sz="4" w:space="0"/>
              <w:right w:val="single" w:color="000000" w:sz="4" w:space="0"/>
            </w:tcBorders>
            <w:shd w:val="clear" w:color="auto" w:fill="FFFFFF"/>
            <w:vAlign w:val="center"/>
          </w:tcPr>
          <w:p w14:paraId="5024B8F6">
            <w:pPr>
              <w:jc w:val="center"/>
              <w:rPr>
                <w:rFonts w:hint="eastAsia" w:ascii="宋体" w:hAnsi="宋体" w:eastAsia="宋体" w:cs="宋体"/>
                <w:b/>
                <w:bCs/>
                <w:i w:val="0"/>
                <w:iCs w:val="0"/>
                <w:color w:val="000000"/>
                <w:sz w:val="21"/>
                <w:szCs w:val="21"/>
                <w:u w:val="none"/>
              </w:rPr>
            </w:pPr>
          </w:p>
        </w:tc>
        <w:tc>
          <w:tcPr>
            <w:tcW w:w="1946" w:type="dxa"/>
            <w:tcBorders>
              <w:top w:val="nil"/>
              <w:left w:val="single" w:color="000000" w:sz="4" w:space="0"/>
              <w:bottom w:val="single" w:color="000000" w:sz="4" w:space="0"/>
              <w:right w:val="single" w:color="000000" w:sz="4" w:space="0"/>
            </w:tcBorders>
            <w:shd w:val="clear" w:color="auto" w:fill="FFFFFF"/>
            <w:vAlign w:val="center"/>
          </w:tcPr>
          <w:p w14:paraId="3998EE4F">
            <w:pPr>
              <w:jc w:val="center"/>
              <w:rPr>
                <w:rFonts w:hint="eastAsia" w:ascii="宋体" w:hAnsi="宋体" w:eastAsia="宋体" w:cs="宋体"/>
                <w:b/>
                <w:bCs/>
                <w:i w:val="0"/>
                <w:iCs w:val="0"/>
                <w:color w:val="000000"/>
                <w:sz w:val="21"/>
                <w:szCs w:val="21"/>
                <w:u w:val="none"/>
              </w:rPr>
            </w:pPr>
          </w:p>
        </w:tc>
      </w:tr>
      <w:tr w14:paraId="74348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D5B1C">
            <w:pPr>
              <w:jc w:val="center"/>
              <w:rPr>
                <w:rFonts w:hint="eastAsia" w:ascii="宋体" w:hAnsi="宋体" w:eastAsia="宋体" w:cs="宋体"/>
                <w:b/>
                <w:bCs/>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CBDED">
            <w:pPr>
              <w:jc w:val="center"/>
              <w:rPr>
                <w:rFonts w:hint="eastAsia" w:ascii="宋体" w:hAnsi="宋体" w:eastAsia="宋体" w:cs="宋体"/>
                <w:b/>
                <w:bCs/>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26AD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土方工程</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C1D77">
            <w:pPr>
              <w:jc w:val="center"/>
              <w:rPr>
                <w:rFonts w:hint="eastAsia" w:ascii="宋体" w:hAnsi="宋体" w:eastAsia="宋体" w:cs="宋体"/>
                <w:b/>
                <w:bCs/>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1BA47">
            <w:pPr>
              <w:jc w:val="center"/>
              <w:rPr>
                <w:rFonts w:hint="eastAsia" w:ascii="宋体" w:hAnsi="宋体" w:eastAsia="宋体" w:cs="宋体"/>
                <w:b/>
                <w:bCs/>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35C4F">
            <w:pPr>
              <w:jc w:val="center"/>
              <w:rPr>
                <w:rFonts w:hint="eastAsia" w:ascii="宋体" w:hAnsi="宋体" w:eastAsia="宋体" w:cs="宋体"/>
                <w:b/>
                <w:bCs/>
                <w:i w:val="0"/>
                <w:iCs w:val="0"/>
                <w:color w:val="000000"/>
                <w:sz w:val="21"/>
                <w:szCs w:val="21"/>
                <w:u w:val="none"/>
              </w:rPr>
            </w:pPr>
          </w:p>
        </w:tc>
        <w:tc>
          <w:tcPr>
            <w:tcW w:w="1316" w:type="dxa"/>
            <w:tcBorders>
              <w:top w:val="nil"/>
              <w:left w:val="single" w:color="000000" w:sz="4" w:space="0"/>
              <w:bottom w:val="single" w:color="000000" w:sz="4" w:space="0"/>
              <w:right w:val="single" w:color="000000" w:sz="4" w:space="0"/>
            </w:tcBorders>
            <w:shd w:val="clear" w:color="auto" w:fill="FFFFFF"/>
            <w:vAlign w:val="center"/>
          </w:tcPr>
          <w:p w14:paraId="623A26D6">
            <w:pPr>
              <w:jc w:val="center"/>
              <w:rPr>
                <w:rFonts w:hint="eastAsia" w:ascii="宋体" w:hAnsi="宋体" w:eastAsia="宋体" w:cs="宋体"/>
                <w:b/>
                <w:bCs/>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D3F62">
            <w:pPr>
              <w:jc w:val="center"/>
              <w:rPr>
                <w:rFonts w:hint="eastAsia" w:ascii="宋体" w:hAnsi="宋体" w:eastAsia="宋体" w:cs="宋体"/>
                <w:b/>
                <w:bCs/>
                <w:i w:val="0"/>
                <w:iCs w:val="0"/>
                <w:color w:val="000000"/>
                <w:sz w:val="21"/>
                <w:szCs w:val="21"/>
                <w:u w:val="none"/>
              </w:rPr>
            </w:pPr>
          </w:p>
        </w:tc>
        <w:tc>
          <w:tcPr>
            <w:tcW w:w="1946" w:type="dxa"/>
            <w:tcBorders>
              <w:top w:val="nil"/>
              <w:left w:val="single" w:color="000000" w:sz="4" w:space="0"/>
              <w:bottom w:val="single" w:color="000000" w:sz="4" w:space="0"/>
              <w:right w:val="single" w:color="000000" w:sz="4" w:space="0"/>
            </w:tcBorders>
            <w:shd w:val="clear" w:color="auto" w:fill="FFFFFF"/>
            <w:vAlign w:val="center"/>
          </w:tcPr>
          <w:p w14:paraId="1852A500">
            <w:pPr>
              <w:jc w:val="center"/>
              <w:rPr>
                <w:rFonts w:hint="eastAsia" w:ascii="宋体" w:hAnsi="宋体" w:eastAsia="宋体" w:cs="宋体"/>
                <w:b/>
                <w:bCs/>
                <w:i w:val="0"/>
                <w:iCs w:val="0"/>
                <w:color w:val="000000"/>
                <w:sz w:val="21"/>
                <w:szCs w:val="21"/>
                <w:u w:val="none"/>
              </w:rPr>
            </w:pPr>
          </w:p>
        </w:tc>
      </w:tr>
      <w:tr w14:paraId="47874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072B7">
            <w:pPr>
              <w:jc w:val="center"/>
              <w:rPr>
                <w:rFonts w:hint="eastAsia" w:ascii="宋体" w:hAnsi="宋体" w:eastAsia="宋体" w:cs="宋体"/>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77177">
            <w:pPr>
              <w:jc w:val="left"/>
              <w:rPr>
                <w:rFonts w:hint="eastAsia" w:ascii="宋体" w:hAnsi="宋体" w:eastAsia="宋体" w:cs="宋体"/>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DE4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吉隆政府片区(北侧)</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62F8F">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907C1">
            <w:pPr>
              <w:jc w:val="center"/>
              <w:rPr>
                <w:rFonts w:hint="eastAsia" w:ascii="宋体" w:hAnsi="宋体" w:eastAsia="宋体" w:cs="宋体"/>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662F7">
            <w:pPr>
              <w:jc w:val="center"/>
              <w:rPr>
                <w:rFonts w:hint="eastAsia" w:ascii="宋体" w:hAnsi="宋体" w:eastAsia="宋体" w:cs="宋体"/>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425D6">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C32DC">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07C2B">
            <w:pPr>
              <w:jc w:val="left"/>
              <w:rPr>
                <w:rFonts w:hint="eastAsia" w:ascii="宋体" w:hAnsi="宋体" w:eastAsia="宋体" w:cs="宋体"/>
                <w:i w:val="0"/>
                <w:iCs w:val="0"/>
                <w:color w:val="000000"/>
                <w:sz w:val="21"/>
                <w:szCs w:val="21"/>
                <w:u w:val="none"/>
              </w:rPr>
            </w:pPr>
          </w:p>
        </w:tc>
      </w:tr>
      <w:tr w14:paraId="0C283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C6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8C0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A84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挖沟槽土方(2米内）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87C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AC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CC3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2929.96</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D64C2">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162D9">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0C5B7">
            <w:pPr>
              <w:jc w:val="left"/>
              <w:rPr>
                <w:rFonts w:hint="eastAsia" w:ascii="宋体" w:hAnsi="宋体" w:eastAsia="宋体" w:cs="宋体"/>
                <w:i w:val="0"/>
                <w:iCs w:val="0"/>
                <w:color w:val="000000"/>
                <w:sz w:val="21"/>
                <w:szCs w:val="21"/>
                <w:u w:val="none"/>
              </w:rPr>
            </w:pPr>
          </w:p>
        </w:tc>
      </w:tr>
      <w:tr w14:paraId="20BF5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F57B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EB3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31A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支护下挖沟槽土方(2米内）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AB8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83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A42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13343.19</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3A70D6">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77E18">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6CE6A">
            <w:pPr>
              <w:jc w:val="left"/>
              <w:rPr>
                <w:rFonts w:hint="eastAsia" w:ascii="宋体" w:hAnsi="宋体" w:eastAsia="宋体" w:cs="宋体"/>
                <w:i w:val="0"/>
                <w:iCs w:val="0"/>
                <w:color w:val="000000"/>
                <w:sz w:val="21"/>
                <w:szCs w:val="21"/>
                <w:u w:val="none"/>
              </w:rPr>
            </w:pPr>
          </w:p>
        </w:tc>
      </w:tr>
      <w:tr w14:paraId="62876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309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FAAD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CB9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支护下挖沟槽土方(4米内）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E1F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深度在4m内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2、挖掘机挖装沟槽、基坑土方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0B3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C5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9868.77</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4E3A61">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6FBE2">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D7D91">
            <w:pPr>
              <w:jc w:val="left"/>
              <w:rPr>
                <w:rFonts w:hint="eastAsia" w:ascii="宋体" w:hAnsi="宋体" w:eastAsia="宋体" w:cs="宋体"/>
                <w:i w:val="0"/>
                <w:iCs w:val="0"/>
                <w:color w:val="000000"/>
                <w:sz w:val="21"/>
                <w:szCs w:val="21"/>
                <w:u w:val="none"/>
              </w:rPr>
            </w:pPr>
          </w:p>
        </w:tc>
      </w:tr>
      <w:tr w14:paraId="2FEE7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AC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7A0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040103001003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CFB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回填土方</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CAE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1、压路机碾压土(石)方 填土方</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8B6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EED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7598.1</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31A5E">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29FC4">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09AEC">
            <w:pPr>
              <w:jc w:val="left"/>
              <w:rPr>
                <w:rFonts w:hint="eastAsia" w:ascii="宋体" w:hAnsi="宋体" w:eastAsia="宋体" w:cs="宋体"/>
                <w:i w:val="0"/>
                <w:iCs w:val="0"/>
                <w:color w:val="000000"/>
                <w:sz w:val="21"/>
                <w:szCs w:val="21"/>
                <w:u w:val="none"/>
              </w:rPr>
            </w:pPr>
          </w:p>
        </w:tc>
      </w:tr>
      <w:tr w14:paraId="74612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6B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F92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040103002001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5D0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余方弃置</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DBD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1、装载机装土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2、运距:投标人根据施工现场实际情况自行考虑</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F4A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D5B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17404.11</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5449D">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F166F">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2EA66">
            <w:pPr>
              <w:jc w:val="left"/>
              <w:rPr>
                <w:rFonts w:hint="eastAsia" w:ascii="宋体" w:hAnsi="宋体" w:eastAsia="宋体" w:cs="宋体"/>
                <w:i w:val="0"/>
                <w:iCs w:val="0"/>
                <w:color w:val="000000"/>
                <w:sz w:val="21"/>
                <w:szCs w:val="21"/>
                <w:u w:val="none"/>
              </w:rPr>
            </w:pPr>
          </w:p>
        </w:tc>
      </w:tr>
      <w:tr w14:paraId="54AFF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882BC">
            <w:pPr>
              <w:jc w:val="center"/>
              <w:rPr>
                <w:rFonts w:hint="eastAsia" w:ascii="宋体" w:hAnsi="宋体" w:eastAsia="宋体" w:cs="宋体"/>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BA690">
            <w:pPr>
              <w:jc w:val="left"/>
              <w:rPr>
                <w:rFonts w:hint="eastAsia" w:ascii="宋体" w:hAnsi="宋体" w:eastAsia="宋体" w:cs="宋体"/>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599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吉隆河东侧新市场片区</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BB3D7">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4B205">
            <w:pPr>
              <w:jc w:val="center"/>
              <w:rPr>
                <w:rFonts w:hint="eastAsia" w:ascii="宋体" w:hAnsi="宋体" w:eastAsia="宋体" w:cs="宋体"/>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BB78D">
            <w:pPr>
              <w:jc w:val="center"/>
              <w:rPr>
                <w:rFonts w:hint="eastAsia" w:ascii="宋体" w:hAnsi="宋体" w:eastAsia="宋体" w:cs="宋体"/>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E5355">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ED769">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7CFE6">
            <w:pPr>
              <w:jc w:val="right"/>
              <w:rPr>
                <w:rFonts w:hint="eastAsia" w:ascii="宋体" w:hAnsi="宋体" w:eastAsia="宋体" w:cs="宋体"/>
                <w:i w:val="0"/>
                <w:iCs w:val="0"/>
                <w:color w:val="000000"/>
                <w:sz w:val="21"/>
                <w:szCs w:val="21"/>
                <w:u w:val="none"/>
              </w:rPr>
            </w:pPr>
          </w:p>
        </w:tc>
      </w:tr>
      <w:tr w14:paraId="12603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BCB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AA3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083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支护下挖沟槽土方(2米内）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D0E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8F8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654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24155.57</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3927B">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B55EC">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3FFEF">
            <w:pPr>
              <w:jc w:val="left"/>
              <w:rPr>
                <w:rFonts w:hint="eastAsia" w:ascii="宋体" w:hAnsi="宋体" w:eastAsia="宋体" w:cs="宋体"/>
                <w:i w:val="0"/>
                <w:iCs w:val="0"/>
                <w:color w:val="000000"/>
                <w:sz w:val="21"/>
                <w:szCs w:val="21"/>
                <w:u w:val="none"/>
              </w:rPr>
            </w:pPr>
          </w:p>
        </w:tc>
      </w:tr>
      <w:tr w14:paraId="1E53B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8A95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BEF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202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支护下挖沟槽土方(4米内）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D9A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深度在4m内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2、挖掘机挖装沟槽、基坑土方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5B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4A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6573.92</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9D75A">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D7537">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B8FED">
            <w:pPr>
              <w:jc w:val="left"/>
              <w:rPr>
                <w:rFonts w:hint="eastAsia" w:ascii="宋体" w:hAnsi="宋体" w:eastAsia="宋体" w:cs="宋体"/>
                <w:i w:val="0"/>
                <w:iCs w:val="0"/>
                <w:color w:val="000000"/>
                <w:sz w:val="21"/>
                <w:szCs w:val="21"/>
                <w:u w:val="none"/>
              </w:rPr>
            </w:pPr>
          </w:p>
        </w:tc>
      </w:tr>
      <w:tr w14:paraId="798E4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95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3C1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05E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挖沟槽土方(2米内）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072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19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782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7016.91</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EB5E4">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9281B">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C0B29">
            <w:pPr>
              <w:jc w:val="left"/>
              <w:rPr>
                <w:rFonts w:hint="eastAsia" w:ascii="宋体" w:hAnsi="宋体" w:eastAsia="宋体" w:cs="宋体"/>
                <w:i w:val="0"/>
                <w:iCs w:val="0"/>
                <w:color w:val="000000"/>
                <w:sz w:val="21"/>
                <w:szCs w:val="21"/>
                <w:u w:val="none"/>
              </w:rPr>
            </w:pPr>
          </w:p>
        </w:tc>
      </w:tr>
      <w:tr w14:paraId="073F6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4E0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FF0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040103001002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4BF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回填土方</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26E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1、压路机碾压土(石)方 填土方</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4F1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DB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10933.05</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FFC60">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1DE57">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55B30">
            <w:pPr>
              <w:jc w:val="left"/>
              <w:rPr>
                <w:rFonts w:hint="eastAsia" w:ascii="宋体" w:hAnsi="宋体" w:eastAsia="宋体" w:cs="宋体"/>
                <w:i w:val="0"/>
                <w:iCs w:val="0"/>
                <w:color w:val="000000"/>
                <w:sz w:val="21"/>
                <w:szCs w:val="21"/>
                <w:u w:val="none"/>
              </w:rPr>
            </w:pPr>
          </w:p>
        </w:tc>
      </w:tr>
      <w:tr w14:paraId="1BD4C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6D4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B70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040103002001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6E4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余方弃置</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300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1、装载机装土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2、运距:投标人根据施工现场实际情况自行考虑</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114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3D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19913.25</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9C3F7">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F1221">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A79B1">
            <w:pPr>
              <w:jc w:val="left"/>
              <w:rPr>
                <w:rFonts w:hint="eastAsia" w:ascii="宋体" w:hAnsi="宋体" w:eastAsia="宋体" w:cs="宋体"/>
                <w:i w:val="0"/>
                <w:iCs w:val="0"/>
                <w:color w:val="000000"/>
                <w:sz w:val="21"/>
                <w:szCs w:val="21"/>
                <w:u w:val="none"/>
              </w:rPr>
            </w:pPr>
          </w:p>
        </w:tc>
      </w:tr>
      <w:tr w14:paraId="0635D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CC038">
            <w:pPr>
              <w:jc w:val="center"/>
              <w:rPr>
                <w:rFonts w:hint="eastAsia" w:ascii="宋体" w:hAnsi="宋体" w:eastAsia="宋体" w:cs="宋体"/>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396D8">
            <w:pPr>
              <w:jc w:val="left"/>
              <w:rPr>
                <w:rFonts w:hint="eastAsia" w:ascii="宋体" w:hAnsi="宋体" w:eastAsia="宋体" w:cs="宋体"/>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C5E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广汕公路以东片区</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26856">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40C64">
            <w:pPr>
              <w:jc w:val="center"/>
              <w:rPr>
                <w:rFonts w:hint="eastAsia" w:ascii="宋体" w:hAnsi="宋体" w:eastAsia="宋体" w:cs="宋体"/>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197B6">
            <w:pPr>
              <w:jc w:val="center"/>
              <w:rPr>
                <w:rFonts w:hint="eastAsia" w:ascii="宋体" w:hAnsi="宋体" w:eastAsia="宋体" w:cs="宋体"/>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B61EA">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14B8F">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C0149">
            <w:pPr>
              <w:jc w:val="right"/>
              <w:rPr>
                <w:rFonts w:hint="eastAsia" w:ascii="宋体" w:hAnsi="宋体" w:eastAsia="宋体" w:cs="宋体"/>
                <w:i w:val="0"/>
                <w:iCs w:val="0"/>
                <w:color w:val="000000"/>
                <w:sz w:val="21"/>
                <w:szCs w:val="21"/>
                <w:u w:val="none"/>
              </w:rPr>
            </w:pPr>
          </w:p>
        </w:tc>
      </w:tr>
      <w:tr w14:paraId="0699F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9C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358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FC8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支护下挖沟槽土方(2米内）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EF1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38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95C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28638.62</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E1A85">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93064">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1EB74">
            <w:pPr>
              <w:jc w:val="left"/>
              <w:rPr>
                <w:rFonts w:hint="eastAsia" w:ascii="宋体" w:hAnsi="宋体" w:eastAsia="宋体" w:cs="宋体"/>
                <w:i w:val="0"/>
                <w:iCs w:val="0"/>
                <w:color w:val="000000"/>
                <w:sz w:val="21"/>
                <w:szCs w:val="21"/>
                <w:u w:val="none"/>
              </w:rPr>
            </w:pPr>
          </w:p>
        </w:tc>
      </w:tr>
      <w:tr w14:paraId="48BAF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7F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89B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60B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支护下挖沟槽土方(2米内）四类土</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BAE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四类土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四类土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CC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509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2621.73</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CE322">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3931A">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907C7">
            <w:pPr>
              <w:jc w:val="left"/>
              <w:rPr>
                <w:rFonts w:hint="eastAsia" w:ascii="宋体" w:hAnsi="宋体" w:eastAsia="宋体" w:cs="宋体"/>
                <w:i w:val="0"/>
                <w:iCs w:val="0"/>
                <w:color w:val="000000"/>
                <w:sz w:val="21"/>
                <w:szCs w:val="21"/>
                <w:u w:val="none"/>
              </w:rPr>
            </w:pPr>
          </w:p>
        </w:tc>
      </w:tr>
      <w:tr w14:paraId="2CE72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48D5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D59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4BE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支护下挖沟槽土方(4米内）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C95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深度在4m内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2、挖掘机挖装沟槽、基坑土方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C65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DF3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595.04</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A8715">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8C0C5">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86D6C">
            <w:pPr>
              <w:jc w:val="left"/>
              <w:rPr>
                <w:rFonts w:hint="eastAsia" w:ascii="宋体" w:hAnsi="宋体" w:eastAsia="宋体" w:cs="宋体"/>
                <w:i w:val="0"/>
                <w:iCs w:val="0"/>
                <w:color w:val="000000"/>
                <w:sz w:val="21"/>
                <w:szCs w:val="21"/>
                <w:u w:val="none"/>
              </w:rPr>
            </w:pPr>
          </w:p>
        </w:tc>
      </w:tr>
      <w:tr w14:paraId="39FB5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BF4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B0F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040101002004</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627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挖沟槽土方(2米内）</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504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1、人工挖沟槽土方 一、二类土 深度在2m内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2、挖掘机挖沟槽、基坑土方 一、二类土</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911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B5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6907.61</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7B9C3">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28E5A">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84310">
            <w:pPr>
              <w:jc w:val="left"/>
              <w:rPr>
                <w:rFonts w:hint="eastAsia" w:ascii="宋体" w:hAnsi="宋体" w:eastAsia="宋体" w:cs="宋体"/>
                <w:i w:val="0"/>
                <w:iCs w:val="0"/>
                <w:color w:val="000000"/>
                <w:sz w:val="21"/>
                <w:szCs w:val="21"/>
                <w:u w:val="none"/>
              </w:rPr>
            </w:pPr>
          </w:p>
        </w:tc>
      </w:tr>
      <w:tr w14:paraId="7DC3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082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8D2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040103001002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031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回填土方</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6CF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1、压路机碾压土(石)方 填土方</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EA2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14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7096.08</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E7639">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34382">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2A74F">
            <w:pPr>
              <w:jc w:val="left"/>
              <w:rPr>
                <w:rFonts w:hint="eastAsia" w:ascii="宋体" w:hAnsi="宋体" w:eastAsia="宋体" w:cs="宋体"/>
                <w:i w:val="0"/>
                <w:iCs w:val="0"/>
                <w:color w:val="000000"/>
                <w:sz w:val="21"/>
                <w:szCs w:val="21"/>
                <w:u w:val="none"/>
              </w:rPr>
            </w:pPr>
          </w:p>
        </w:tc>
      </w:tr>
      <w:tr w14:paraId="2EE88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E9B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C3B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040103002001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FBF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余方弃置</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398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1、装载机装土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2、运距:投标人根据施工现场实际情况自行考虑</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F88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40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26891.61</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9DACC">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5781C">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F8F33">
            <w:pPr>
              <w:jc w:val="left"/>
              <w:rPr>
                <w:rFonts w:hint="eastAsia" w:ascii="宋体" w:hAnsi="宋体" w:eastAsia="宋体" w:cs="宋体"/>
                <w:i w:val="0"/>
                <w:iCs w:val="0"/>
                <w:color w:val="000000"/>
                <w:sz w:val="21"/>
                <w:szCs w:val="21"/>
                <w:u w:val="none"/>
              </w:rPr>
            </w:pPr>
          </w:p>
        </w:tc>
      </w:tr>
      <w:tr w14:paraId="03EB9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BDEDE2">
            <w:pPr>
              <w:jc w:val="center"/>
              <w:rPr>
                <w:rFonts w:hint="eastAsia" w:ascii="宋体" w:hAnsi="宋体" w:eastAsia="宋体" w:cs="宋体"/>
                <w:b/>
                <w:bCs/>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25442">
            <w:pPr>
              <w:jc w:val="left"/>
              <w:rPr>
                <w:rFonts w:hint="eastAsia" w:ascii="宋体" w:hAnsi="宋体" w:eastAsia="宋体" w:cs="宋体"/>
                <w:b/>
                <w:bCs/>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07648">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措施项目</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A46C5">
            <w:pPr>
              <w:jc w:val="left"/>
              <w:rPr>
                <w:rFonts w:hint="eastAsia" w:ascii="宋体" w:hAnsi="宋体" w:eastAsia="宋体" w:cs="宋体"/>
                <w:b/>
                <w:bCs/>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6CEA6">
            <w:pPr>
              <w:jc w:val="center"/>
              <w:rPr>
                <w:rFonts w:hint="eastAsia" w:ascii="宋体" w:hAnsi="宋体" w:eastAsia="宋体" w:cs="宋体"/>
                <w:b/>
                <w:bCs/>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E4338">
            <w:pPr>
              <w:jc w:val="center"/>
              <w:rPr>
                <w:rFonts w:hint="eastAsia" w:ascii="宋体" w:hAnsi="宋体" w:eastAsia="宋体" w:cs="宋体"/>
                <w:b/>
                <w:bCs/>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98E8C">
            <w:pPr>
              <w:jc w:val="center"/>
              <w:rPr>
                <w:rFonts w:hint="eastAsia" w:ascii="宋体" w:hAnsi="宋体" w:eastAsia="宋体" w:cs="宋体"/>
                <w:b/>
                <w:bCs/>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34BFF6">
            <w:pPr>
              <w:jc w:val="center"/>
              <w:rPr>
                <w:rFonts w:hint="eastAsia" w:ascii="宋体" w:hAnsi="宋体" w:eastAsia="宋体" w:cs="宋体"/>
                <w:b/>
                <w:bCs/>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7E952">
            <w:pPr>
              <w:jc w:val="right"/>
              <w:rPr>
                <w:rFonts w:hint="eastAsia" w:ascii="宋体" w:hAnsi="宋体" w:eastAsia="宋体" w:cs="宋体"/>
                <w:b/>
                <w:bCs/>
                <w:i w:val="0"/>
                <w:iCs w:val="0"/>
                <w:color w:val="000000"/>
                <w:sz w:val="21"/>
                <w:szCs w:val="21"/>
                <w:u w:val="none"/>
              </w:rPr>
            </w:pPr>
          </w:p>
        </w:tc>
      </w:tr>
      <w:tr w14:paraId="24457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C6E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D3A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AQFHWMSG</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DA3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绿色施工安全防护措施费</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85D13">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E16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CC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B2FCB">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8013F">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16E34">
            <w:pPr>
              <w:jc w:val="left"/>
              <w:rPr>
                <w:rFonts w:hint="eastAsia" w:ascii="宋体" w:hAnsi="宋体" w:eastAsia="宋体" w:cs="宋体"/>
                <w:i w:val="0"/>
                <w:iCs w:val="0"/>
                <w:color w:val="000000"/>
                <w:sz w:val="21"/>
                <w:szCs w:val="21"/>
                <w:u w:val="none"/>
              </w:rPr>
            </w:pPr>
          </w:p>
        </w:tc>
      </w:tr>
      <w:tr w14:paraId="1F833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76" w:type="dxa"/>
            <w:tcBorders>
              <w:top w:val="single" w:color="000000" w:sz="4" w:space="0"/>
              <w:left w:val="single" w:color="000000" w:sz="4" w:space="0"/>
              <w:bottom w:val="nil"/>
              <w:right w:val="single" w:color="000000" w:sz="4" w:space="0"/>
            </w:tcBorders>
            <w:shd w:val="clear" w:color="auto" w:fill="auto"/>
            <w:noWrap/>
            <w:vAlign w:val="center"/>
          </w:tcPr>
          <w:p w14:paraId="60ADACF2">
            <w:pPr>
              <w:keepNext w:val="0"/>
              <w:keepLines w:val="0"/>
              <w:widowControl/>
              <w:suppressLineNumbers w:val="0"/>
              <w:jc w:val="left"/>
              <w:textAlignment w:val="center"/>
              <w:rPr>
                <w:rFonts w:ascii="等线" w:hAnsi="等线" w:eastAsia="等线" w:cs="等线"/>
                <w:b/>
                <w:bCs/>
                <w:i w:val="0"/>
                <w:iCs w:val="0"/>
                <w:color w:val="000000"/>
                <w:sz w:val="24"/>
                <w:szCs w:val="24"/>
                <w:u w:val="none"/>
              </w:rPr>
            </w:pPr>
            <w:r>
              <w:rPr>
                <w:rFonts w:hint="default" w:ascii="等线" w:hAnsi="等线" w:eastAsia="等线" w:cs="等线"/>
                <w:b/>
                <w:bCs/>
                <w:i w:val="0"/>
                <w:iCs w:val="0"/>
                <w:color w:val="000000"/>
                <w:kern w:val="0"/>
                <w:sz w:val="24"/>
                <w:szCs w:val="24"/>
                <w:u w:val="none"/>
                <w:lang w:val="en-US" w:eastAsia="zh-CN" w:bidi="ar"/>
              </w:rPr>
              <w:t>（二）</w:t>
            </w:r>
          </w:p>
        </w:tc>
        <w:tc>
          <w:tcPr>
            <w:tcW w:w="1416" w:type="dxa"/>
            <w:tcBorders>
              <w:top w:val="single" w:color="000000" w:sz="4" w:space="0"/>
              <w:left w:val="single" w:color="000000" w:sz="4" w:space="0"/>
              <w:bottom w:val="nil"/>
              <w:right w:val="single" w:color="000000" w:sz="4" w:space="0"/>
            </w:tcBorders>
            <w:shd w:val="clear" w:color="auto" w:fill="auto"/>
            <w:noWrap/>
            <w:vAlign w:val="center"/>
          </w:tcPr>
          <w:p w14:paraId="5C65ABB3">
            <w:pPr>
              <w:rPr>
                <w:rFonts w:hint="default" w:ascii="等线" w:hAnsi="等线" w:eastAsia="等线" w:cs="等线"/>
                <w:b/>
                <w:bCs/>
                <w:i w:val="0"/>
                <w:iCs w:val="0"/>
                <w:color w:val="000000"/>
                <w:sz w:val="24"/>
                <w:szCs w:val="24"/>
                <w:u w:val="none"/>
              </w:rPr>
            </w:pPr>
          </w:p>
        </w:tc>
        <w:tc>
          <w:tcPr>
            <w:tcW w:w="1870" w:type="dxa"/>
            <w:tcBorders>
              <w:top w:val="nil"/>
              <w:left w:val="nil"/>
              <w:bottom w:val="nil"/>
              <w:right w:val="nil"/>
            </w:tcBorders>
            <w:shd w:val="clear" w:color="auto" w:fill="auto"/>
            <w:noWrap/>
            <w:vAlign w:val="center"/>
          </w:tcPr>
          <w:p w14:paraId="738B9172">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槽钢、拉森钢板桩支护工程</w:t>
            </w:r>
          </w:p>
        </w:tc>
        <w:tc>
          <w:tcPr>
            <w:tcW w:w="1372" w:type="dxa"/>
            <w:tcBorders>
              <w:top w:val="single" w:color="000000" w:sz="4" w:space="0"/>
              <w:left w:val="single" w:color="000000" w:sz="4" w:space="0"/>
              <w:bottom w:val="nil"/>
              <w:right w:val="single" w:color="000000" w:sz="4" w:space="0"/>
            </w:tcBorders>
            <w:shd w:val="clear" w:color="auto" w:fill="auto"/>
            <w:noWrap/>
            <w:vAlign w:val="center"/>
          </w:tcPr>
          <w:p w14:paraId="08B66305">
            <w:pPr>
              <w:rPr>
                <w:rFonts w:hint="default" w:ascii="等线" w:hAnsi="等线" w:eastAsia="等线" w:cs="等线"/>
                <w:b/>
                <w:bCs/>
                <w:i w:val="0"/>
                <w:iCs w:val="0"/>
                <w:color w:val="000000"/>
                <w:sz w:val="24"/>
                <w:szCs w:val="24"/>
                <w:u w:val="none"/>
              </w:rPr>
            </w:pPr>
          </w:p>
        </w:tc>
        <w:tc>
          <w:tcPr>
            <w:tcW w:w="417" w:type="dxa"/>
            <w:tcBorders>
              <w:top w:val="single" w:color="000000" w:sz="4" w:space="0"/>
              <w:left w:val="single" w:color="000000" w:sz="4" w:space="0"/>
              <w:bottom w:val="nil"/>
              <w:right w:val="single" w:color="000000" w:sz="4" w:space="0"/>
            </w:tcBorders>
            <w:shd w:val="clear" w:color="auto" w:fill="auto"/>
            <w:noWrap/>
            <w:vAlign w:val="center"/>
          </w:tcPr>
          <w:p w14:paraId="66A74048">
            <w:pPr>
              <w:rPr>
                <w:rFonts w:hint="default" w:ascii="等线" w:hAnsi="等线" w:eastAsia="等线" w:cs="等线"/>
                <w:b/>
                <w:bCs/>
                <w:i w:val="0"/>
                <w:iCs w:val="0"/>
                <w:color w:val="000000"/>
                <w:sz w:val="24"/>
                <w:szCs w:val="24"/>
                <w:u w:val="none"/>
              </w:rPr>
            </w:pPr>
          </w:p>
        </w:tc>
        <w:tc>
          <w:tcPr>
            <w:tcW w:w="1016" w:type="dxa"/>
            <w:tcBorders>
              <w:top w:val="single" w:color="000000" w:sz="4" w:space="0"/>
              <w:left w:val="single" w:color="000000" w:sz="4" w:space="0"/>
              <w:bottom w:val="nil"/>
              <w:right w:val="single" w:color="000000" w:sz="4" w:space="0"/>
            </w:tcBorders>
            <w:shd w:val="clear" w:color="auto" w:fill="auto"/>
            <w:noWrap/>
            <w:vAlign w:val="center"/>
          </w:tcPr>
          <w:p w14:paraId="0677E2D4">
            <w:pPr>
              <w:jc w:val="center"/>
              <w:rPr>
                <w:rFonts w:hint="default" w:ascii="等线" w:hAnsi="等线" w:eastAsia="等线" w:cs="等线"/>
                <w:b/>
                <w:bCs/>
                <w:i w:val="0"/>
                <w:iCs w:val="0"/>
                <w:color w:val="000000"/>
                <w:sz w:val="24"/>
                <w:szCs w:val="24"/>
                <w:u w:val="none"/>
              </w:rPr>
            </w:pPr>
          </w:p>
        </w:tc>
        <w:tc>
          <w:tcPr>
            <w:tcW w:w="1316" w:type="dxa"/>
            <w:tcBorders>
              <w:top w:val="single" w:color="000000" w:sz="4" w:space="0"/>
              <w:left w:val="single" w:color="000000" w:sz="4" w:space="0"/>
              <w:bottom w:val="nil"/>
              <w:right w:val="single" w:color="000000" w:sz="4" w:space="0"/>
            </w:tcBorders>
            <w:shd w:val="clear" w:color="auto" w:fill="auto"/>
            <w:noWrap/>
            <w:vAlign w:val="center"/>
          </w:tcPr>
          <w:p w14:paraId="0480BC9D">
            <w:pPr>
              <w:jc w:val="center"/>
              <w:rPr>
                <w:rFonts w:hint="default" w:ascii="等线" w:hAnsi="等线" w:eastAsia="等线" w:cs="等线"/>
                <w:b/>
                <w:bCs/>
                <w:i w:val="0"/>
                <w:iCs w:val="0"/>
                <w:color w:val="000000"/>
                <w:sz w:val="24"/>
                <w:szCs w:val="24"/>
                <w:u w:val="none"/>
              </w:rPr>
            </w:pPr>
          </w:p>
        </w:tc>
        <w:tc>
          <w:tcPr>
            <w:tcW w:w="819" w:type="dxa"/>
            <w:tcBorders>
              <w:top w:val="single" w:color="000000" w:sz="4" w:space="0"/>
              <w:left w:val="single" w:color="000000" w:sz="4" w:space="0"/>
              <w:bottom w:val="nil"/>
              <w:right w:val="single" w:color="000000" w:sz="4" w:space="0"/>
            </w:tcBorders>
            <w:shd w:val="clear" w:color="auto" w:fill="auto"/>
            <w:noWrap/>
            <w:vAlign w:val="center"/>
          </w:tcPr>
          <w:p w14:paraId="587BAA2D">
            <w:pPr>
              <w:jc w:val="center"/>
              <w:rPr>
                <w:rFonts w:hint="default" w:ascii="等线" w:hAnsi="等线" w:eastAsia="等线" w:cs="等线"/>
                <w:b/>
                <w:bCs/>
                <w:i w:val="0"/>
                <w:iCs w:val="0"/>
                <w:color w:val="000000"/>
                <w:sz w:val="21"/>
                <w:szCs w:val="21"/>
                <w:u w:val="none"/>
              </w:rPr>
            </w:pPr>
          </w:p>
        </w:tc>
        <w:tc>
          <w:tcPr>
            <w:tcW w:w="1946" w:type="dxa"/>
            <w:tcBorders>
              <w:top w:val="single" w:color="000000" w:sz="4" w:space="0"/>
              <w:left w:val="single" w:color="000000" w:sz="4" w:space="0"/>
              <w:bottom w:val="nil"/>
              <w:right w:val="single" w:color="000000" w:sz="4" w:space="0"/>
            </w:tcBorders>
            <w:shd w:val="clear" w:color="auto" w:fill="auto"/>
            <w:noWrap/>
            <w:vAlign w:val="center"/>
          </w:tcPr>
          <w:p w14:paraId="1BEA0EE5">
            <w:pPr>
              <w:rPr>
                <w:rFonts w:hint="default" w:ascii="等线" w:hAnsi="等线" w:eastAsia="等线" w:cs="等线"/>
                <w:b/>
                <w:bCs/>
                <w:i w:val="0"/>
                <w:iCs w:val="0"/>
                <w:color w:val="000000"/>
                <w:sz w:val="24"/>
                <w:szCs w:val="24"/>
                <w:u w:val="none"/>
              </w:rPr>
            </w:pPr>
          </w:p>
        </w:tc>
      </w:tr>
      <w:tr w14:paraId="5B7A1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9E94">
            <w:pPr>
              <w:rPr>
                <w:rFonts w:hint="default" w:ascii="等线" w:hAnsi="等线" w:eastAsia="等线" w:cs="等线"/>
                <w:b/>
                <w:bCs/>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18AA">
            <w:pPr>
              <w:rPr>
                <w:rFonts w:hint="default" w:ascii="等线" w:hAnsi="等线" w:eastAsia="等线" w:cs="等线"/>
                <w:b/>
                <w:bCs/>
                <w:i w:val="0"/>
                <w:iCs w:val="0"/>
                <w:color w:val="000000"/>
                <w:sz w:val="24"/>
                <w:szCs w:val="24"/>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EE03">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支护工程</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CBD56">
            <w:pPr>
              <w:rPr>
                <w:rFonts w:hint="default" w:ascii="等线" w:hAnsi="等线" w:eastAsia="等线" w:cs="等线"/>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5A3B">
            <w:pPr>
              <w:rPr>
                <w:rFonts w:hint="default" w:ascii="等线" w:hAnsi="等线" w:eastAsia="等线" w:cs="等线"/>
                <w:b/>
                <w:bCs/>
                <w:i w:val="0"/>
                <w:iCs w:val="0"/>
                <w:color w:val="000000"/>
                <w:sz w:val="24"/>
                <w:szCs w:val="24"/>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49BF6">
            <w:pPr>
              <w:jc w:val="center"/>
              <w:rPr>
                <w:rFonts w:hint="default" w:ascii="等线" w:hAnsi="等线" w:eastAsia="等线" w:cs="等线"/>
                <w:b/>
                <w:bCs/>
                <w:i w:val="0"/>
                <w:iCs w:val="0"/>
                <w:color w:val="000000"/>
                <w:sz w:val="24"/>
                <w:szCs w:val="24"/>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1230E">
            <w:pPr>
              <w:jc w:val="center"/>
              <w:rPr>
                <w:rFonts w:hint="default" w:ascii="等线" w:hAnsi="等线" w:eastAsia="等线" w:cs="等线"/>
                <w:b/>
                <w:bCs/>
                <w:i w:val="0"/>
                <w:iCs w:val="0"/>
                <w:color w:val="000000"/>
                <w:sz w:val="24"/>
                <w:szCs w:val="24"/>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C4C5B">
            <w:pPr>
              <w:jc w:val="center"/>
              <w:rPr>
                <w:rFonts w:hint="default" w:ascii="等线" w:hAnsi="等线" w:eastAsia="等线" w:cs="等线"/>
                <w:b/>
                <w:bCs/>
                <w:i w:val="0"/>
                <w:iCs w:val="0"/>
                <w:color w:val="000000"/>
                <w:sz w:val="24"/>
                <w:szCs w:val="24"/>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4CF6">
            <w:pPr>
              <w:rPr>
                <w:rFonts w:hint="default" w:ascii="等线" w:hAnsi="等线" w:eastAsia="等线" w:cs="等线"/>
                <w:b/>
                <w:bCs/>
                <w:i w:val="0"/>
                <w:iCs w:val="0"/>
                <w:color w:val="000000"/>
                <w:sz w:val="24"/>
                <w:szCs w:val="24"/>
                <w:u w:val="none"/>
              </w:rPr>
            </w:pPr>
          </w:p>
        </w:tc>
      </w:tr>
      <w:tr w14:paraId="3442D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6DF2D6">
            <w:pPr>
              <w:jc w:val="center"/>
              <w:rPr>
                <w:rFonts w:hint="eastAsia" w:ascii="宋体" w:hAnsi="宋体" w:eastAsia="宋体" w:cs="宋体"/>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BF05C">
            <w:pPr>
              <w:jc w:val="left"/>
              <w:rPr>
                <w:rFonts w:hint="eastAsia" w:ascii="宋体" w:hAnsi="宋体" w:eastAsia="宋体" w:cs="宋体"/>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066B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吉隆政府片区(北侧)</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A50F6">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A9FE1">
            <w:pPr>
              <w:jc w:val="center"/>
              <w:rPr>
                <w:rFonts w:hint="eastAsia" w:ascii="宋体" w:hAnsi="宋体" w:eastAsia="宋体" w:cs="宋体"/>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14764">
            <w:pPr>
              <w:jc w:val="center"/>
              <w:rPr>
                <w:rFonts w:hint="eastAsia" w:ascii="宋体" w:hAnsi="宋体" w:eastAsia="宋体" w:cs="宋体"/>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EDF53">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6B434">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858CE">
            <w:pPr>
              <w:jc w:val="left"/>
              <w:rPr>
                <w:rFonts w:hint="eastAsia" w:ascii="宋体" w:hAnsi="宋体" w:eastAsia="宋体" w:cs="宋体"/>
                <w:i w:val="0"/>
                <w:iCs w:val="0"/>
                <w:color w:val="000000"/>
                <w:sz w:val="21"/>
                <w:szCs w:val="21"/>
                <w:u w:val="none"/>
              </w:rPr>
            </w:pPr>
          </w:p>
        </w:tc>
      </w:tr>
      <w:tr w14:paraId="21695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448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870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2BF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4m槽钢支护</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0E2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1、打拔槽型钢板桩 打桩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2、打拔槽型钢板桩 拔桩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73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A20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3318.82</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9AF6B0">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FB254">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DFF18">
            <w:pPr>
              <w:jc w:val="left"/>
              <w:rPr>
                <w:rFonts w:hint="eastAsia" w:ascii="宋体" w:hAnsi="宋体" w:eastAsia="宋体" w:cs="宋体"/>
                <w:i w:val="0"/>
                <w:iCs w:val="0"/>
                <w:color w:val="000000"/>
                <w:sz w:val="21"/>
                <w:szCs w:val="21"/>
                <w:u w:val="none"/>
              </w:rPr>
            </w:pPr>
          </w:p>
        </w:tc>
      </w:tr>
      <w:tr w14:paraId="30B10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C8D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E3D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EFB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6m拉森Ⅲ型钢板桩支护桩</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5B7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1、陆上打拉森钢板桩 6m内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2、拔拉森钢板桩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30F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43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640.8</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EF380">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AC706">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CB5D7">
            <w:pPr>
              <w:jc w:val="left"/>
              <w:rPr>
                <w:rFonts w:hint="eastAsia" w:ascii="宋体" w:hAnsi="宋体" w:eastAsia="宋体" w:cs="宋体"/>
                <w:i w:val="0"/>
                <w:iCs w:val="0"/>
                <w:color w:val="000000"/>
                <w:sz w:val="21"/>
                <w:szCs w:val="21"/>
                <w:u w:val="none"/>
              </w:rPr>
            </w:pPr>
          </w:p>
        </w:tc>
      </w:tr>
      <w:tr w14:paraId="23137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77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2B6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CD5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9m拉森IV型钢板桩支护桩</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84E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1、陆上打拉森钢板桩 9m内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2、拔拉森钢板桩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3B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371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1914.3</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45E96">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407A0">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B6188">
            <w:pPr>
              <w:jc w:val="left"/>
              <w:rPr>
                <w:rFonts w:hint="eastAsia" w:ascii="宋体" w:hAnsi="宋体" w:eastAsia="宋体" w:cs="宋体"/>
                <w:i w:val="0"/>
                <w:iCs w:val="0"/>
                <w:color w:val="000000"/>
                <w:sz w:val="21"/>
                <w:szCs w:val="21"/>
                <w:u w:val="none"/>
              </w:rPr>
            </w:pPr>
          </w:p>
        </w:tc>
      </w:tr>
      <w:tr w14:paraId="013FE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501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AE6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粤040101006004</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849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钢板桩支撑</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25C9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1、钢板桩支撑安、拆 宽度4m内</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620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1FF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915</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D6274">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F10DD">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06B5B">
            <w:pPr>
              <w:jc w:val="left"/>
              <w:rPr>
                <w:rFonts w:hint="eastAsia" w:ascii="宋体" w:hAnsi="宋体" w:eastAsia="宋体" w:cs="宋体"/>
                <w:i w:val="0"/>
                <w:iCs w:val="0"/>
                <w:color w:val="000000"/>
                <w:sz w:val="21"/>
                <w:szCs w:val="21"/>
                <w:u w:val="none"/>
              </w:rPr>
            </w:pPr>
          </w:p>
        </w:tc>
      </w:tr>
      <w:tr w14:paraId="634A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53788">
            <w:pPr>
              <w:jc w:val="center"/>
              <w:rPr>
                <w:rFonts w:hint="eastAsia" w:ascii="宋体" w:hAnsi="宋体" w:eastAsia="宋体" w:cs="宋体"/>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4A3C6">
            <w:pPr>
              <w:jc w:val="left"/>
              <w:rPr>
                <w:rFonts w:hint="eastAsia" w:ascii="宋体" w:hAnsi="宋体" w:eastAsia="宋体" w:cs="宋体"/>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4700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吉隆河东侧新市场片区</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5C936">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724DA">
            <w:pPr>
              <w:jc w:val="center"/>
              <w:rPr>
                <w:rFonts w:hint="eastAsia" w:ascii="宋体" w:hAnsi="宋体" w:eastAsia="宋体" w:cs="宋体"/>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2F39B">
            <w:pPr>
              <w:jc w:val="center"/>
              <w:rPr>
                <w:rFonts w:hint="eastAsia" w:ascii="宋体" w:hAnsi="宋体" w:eastAsia="宋体" w:cs="宋体"/>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12DD4">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BBC71">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A9DD4">
            <w:pPr>
              <w:jc w:val="left"/>
              <w:rPr>
                <w:rFonts w:hint="eastAsia" w:ascii="宋体" w:hAnsi="宋体" w:eastAsia="宋体" w:cs="宋体"/>
                <w:i w:val="0"/>
                <w:iCs w:val="0"/>
                <w:color w:val="000000"/>
                <w:sz w:val="21"/>
                <w:szCs w:val="21"/>
                <w:u w:val="none"/>
              </w:rPr>
            </w:pPr>
          </w:p>
        </w:tc>
      </w:tr>
      <w:tr w14:paraId="65083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38B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AD3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292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4m槽钢支护</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FE0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1、打拔槽型钢板桩 打桩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2、打拔槽型钢板桩 拔桩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4A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FA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2392.48</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A1841">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AF3E2">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343A4">
            <w:pPr>
              <w:jc w:val="left"/>
              <w:rPr>
                <w:rFonts w:hint="eastAsia" w:ascii="宋体" w:hAnsi="宋体" w:eastAsia="宋体" w:cs="宋体"/>
                <w:i w:val="0"/>
                <w:iCs w:val="0"/>
                <w:color w:val="000000"/>
                <w:sz w:val="21"/>
                <w:szCs w:val="21"/>
                <w:u w:val="none"/>
              </w:rPr>
            </w:pPr>
          </w:p>
        </w:tc>
      </w:tr>
      <w:tr w14:paraId="1374F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E5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E7D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72A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6m拉森Ⅲ型钢板桩支护桩</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54F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1、陆上打拉森钢板桩 6m内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2、拔拉森钢板桩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F02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FF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1279.8</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56C9D">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CB0F3">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8A310">
            <w:pPr>
              <w:jc w:val="left"/>
              <w:rPr>
                <w:rFonts w:hint="eastAsia" w:ascii="宋体" w:hAnsi="宋体" w:eastAsia="宋体" w:cs="宋体"/>
                <w:i w:val="0"/>
                <w:iCs w:val="0"/>
                <w:color w:val="000000"/>
                <w:sz w:val="21"/>
                <w:szCs w:val="21"/>
                <w:u w:val="none"/>
              </w:rPr>
            </w:pPr>
          </w:p>
        </w:tc>
      </w:tr>
      <w:tr w14:paraId="44791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11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852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983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钢板桩支撑</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54B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1、钢板桩支撑安、拆 宽度4m内</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C1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96A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748</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798085">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A55B9">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FAEF2">
            <w:pPr>
              <w:jc w:val="left"/>
              <w:rPr>
                <w:rFonts w:hint="eastAsia" w:ascii="宋体" w:hAnsi="宋体" w:eastAsia="宋体" w:cs="宋体"/>
                <w:i w:val="0"/>
                <w:iCs w:val="0"/>
                <w:color w:val="000000"/>
                <w:sz w:val="21"/>
                <w:szCs w:val="21"/>
                <w:u w:val="none"/>
              </w:rPr>
            </w:pPr>
          </w:p>
        </w:tc>
      </w:tr>
      <w:tr w14:paraId="4E316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23DEB">
            <w:pPr>
              <w:jc w:val="center"/>
              <w:rPr>
                <w:rFonts w:hint="eastAsia" w:ascii="宋体" w:hAnsi="宋体" w:eastAsia="宋体" w:cs="宋体"/>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E934A">
            <w:pPr>
              <w:jc w:val="left"/>
              <w:rPr>
                <w:rFonts w:hint="eastAsia" w:ascii="宋体" w:hAnsi="宋体" w:eastAsia="宋体" w:cs="宋体"/>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2AD8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广汕公路以东片区</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84085">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89771">
            <w:pPr>
              <w:jc w:val="center"/>
              <w:rPr>
                <w:rFonts w:hint="eastAsia" w:ascii="宋体" w:hAnsi="宋体" w:eastAsia="宋体" w:cs="宋体"/>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B581F">
            <w:pPr>
              <w:jc w:val="center"/>
              <w:rPr>
                <w:rFonts w:hint="eastAsia" w:ascii="宋体" w:hAnsi="宋体" w:eastAsia="宋体" w:cs="宋体"/>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A2AB8">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EC46B4">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B442B">
            <w:pPr>
              <w:jc w:val="left"/>
              <w:rPr>
                <w:rFonts w:hint="eastAsia" w:ascii="宋体" w:hAnsi="宋体" w:eastAsia="宋体" w:cs="宋体"/>
                <w:i w:val="0"/>
                <w:iCs w:val="0"/>
                <w:color w:val="000000"/>
                <w:sz w:val="21"/>
                <w:szCs w:val="21"/>
                <w:u w:val="none"/>
              </w:rPr>
            </w:pPr>
          </w:p>
        </w:tc>
      </w:tr>
      <w:tr w14:paraId="3C7B2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28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27B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粤040101006001</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649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4m槽钢支护</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456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1、打拔槽型钢板桩 打桩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2、打拔槽型钢板桩 拔桩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52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34F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2302.276</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507F9">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A7C9A">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49E58">
            <w:pPr>
              <w:jc w:val="left"/>
              <w:rPr>
                <w:rFonts w:hint="eastAsia" w:ascii="宋体" w:hAnsi="宋体" w:eastAsia="宋体" w:cs="宋体"/>
                <w:i w:val="0"/>
                <w:iCs w:val="0"/>
                <w:color w:val="000000"/>
                <w:sz w:val="21"/>
                <w:szCs w:val="21"/>
                <w:u w:val="none"/>
              </w:rPr>
            </w:pPr>
          </w:p>
        </w:tc>
      </w:tr>
      <w:tr w14:paraId="2A58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415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E41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粤040101006002</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F68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6m拉森Ⅲ型钢板桩支护桩</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77E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1、陆上打拉森钢板桩 6m内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2、拔拉森钢板桩</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9FAA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C3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667.872</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1227E">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29612">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1D0F2">
            <w:pPr>
              <w:jc w:val="left"/>
              <w:rPr>
                <w:rFonts w:hint="eastAsia" w:ascii="宋体" w:hAnsi="宋体" w:eastAsia="宋体" w:cs="宋体"/>
                <w:i w:val="0"/>
                <w:iCs w:val="0"/>
                <w:color w:val="000000"/>
                <w:sz w:val="21"/>
                <w:szCs w:val="21"/>
                <w:u w:val="none"/>
              </w:rPr>
            </w:pPr>
          </w:p>
        </w:tc>
      </w:tr>
      <w:tr w14:paraId="4B2CF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9A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D788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粤040101006003</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FD7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钢板桩支撑</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6AB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1、钢板桩支撑安、拆 宽度4m内</w:t>
            </w: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4D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8B2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371.03</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D11313">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5737A">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ACD4F">
            <w:pPr>
              <w:jc w:val="left"/>
              <w:rPr>
                <w:rFonts w:hint="eastAsia" w:ascii="宋体" w:hAnsi="宋体" w:eastAsia="宋体" w:cs="宋体"/>
                <w:i w:val="0"/>
                <w:iCs w:val="0"/>
                <w:color w:val="000000"/>
                <w:sz w:val="21"/>
                <w:szCs w:val="21"/>
                <w:u w:val="none"/>
              </w:rPr>
            </w:pPr>
          </w:p>
        </w:tc>
      </w:tr>
      <w:tr w14:paraId="48C7F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43374">
            <w:pPr>
              <w:jc w:val="center"/>
              <w:rPr>
                <w:rFonts w:hint="eastAsia" w:ascii="宋体" w:hAnsi="宋体" w:eastAsia="宋体" w:cs="宋体"/>
                <w:b/>
                <w:bCs/>
                <w:i w:val="0"/>
                <w:iCs w:val="0"/>
                <w:color w:val="000000"/>
                <w:sz w:val="21"/>
                <w:szCs w:val="21"/>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9D020">
            <w:pPr>
              <w:jc w:val="left"/>
              <w:rPr>
                <w:rFonts w:hint="eastAsia" w:ascii="宋体" w:hAnsi="宋体" w:eastAsia="宋体" w:cs="宋体"/>
                <w:b/>
                <w:bCs/>
                <w:i w:val="0"/>
                <w:iCs w:val="0"/>
                <w:color w:val="000000"/>
                <w:sz w:val="21"/>
                <w:szCs w:val="21"/>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70535">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措施项目</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8CB4B">
            <w:pPr>
              <w:jc w:val="left"/>
              <w:rPr>
                <w:rFonts w:hint="eastAsia" w:ascii="宋体" w:hAnsi="宋体" w:eastAsia="宋体" w:cs="宋体"/>
                <w:b/>
                <w:bCs/>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B353E">
            <w:pPr>
              <w:jc w:val="center"/>
              <w:rPr>
                <w:rFonts w:hint="eastAsia" w:ascii="宋体" w:hAnsi="宋体" w:eastAsia="宋体" w:cs="宋体"/>
                <w:b/>
                <w:bCs/>
                <w:i w:val="0"/>
                <w:iCs w:val="0"/>
                <w:color w:val="000000"/>
                <w:sz w:val="21"/>
                <w:szCs w:val="21"/>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B439D">
            <w:pPr>
              <w:jc w:val="center"/>
              <w:rPr>
                <w:rFonts w:hint="eastAsia" w:ascii="宋体" w:hAnsi="宋体" w:eastAsia="宋体" w:cs="宋体"/>
                <w:b/>
                <w:bCs/>
                <w:i w:val="0"/>
                <w:iCs w:val="0"/>
                <w:color w:val="000000"/>
                <w:sz w:val="21"/>
                <w:szCs w:val="21"/>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55188">
            <w:pPr>
              <w:jc w:val="center"/>
              <w:rPr>
                <w:rFonts w:hint="eastAsia" w:ascii="宋体" w:hAnsi="宋体" w:eastAsia="宋体" w:cs="宋体"/>
                <w:b/>
                <w:bCs/>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B2A7C">
            <w:pPr>
              <w:jc w:val="center"/>
              <w:rPr>
                <w:rFonts w:hint="eastAsia" w:ascii="宋体" w:hAnsi="宋体" w:eastAsia="宋体" w:cs="宋体"/>
                <w:b/>
                <w:bCs/>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6CD20">
            <w:pPr>
              <w:jc w:val="left"/>
              <w:rPr>
                <w:rFonts w:hint="eastAsia" w:ascii="宋体" w:hAnsi="宋体" w:eastAsia="宋体" w:cs="宋体"/>
                <w:b/>
                <w:bCs/>
                <w:i w:val="0"/>
                <w:iCs w:val="0"/>
                <w:color w:val="000000"/>
                <w:sz w:val="21"/>
                <w:szCs w:val="21"/>
                <w:u w:val="none"/>
              </w:rPr>
            </w:pPr>
          </w:p>
        </w:tc>
      </w:tr>
      <w:tr w14:paraId="4ABA2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C8B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2F3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AQFHWMSG</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C3D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绿色施工安全防护措施费</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4C42E">
            <w:pPr>
              <w:jc w:val="left"/>
              <w:rPr>
                <w:rFonts w:hint="eastAsia" w:ascii="宋体" w:hAnsi="宋体" w:eastAsia="宋体" w:cs="宋体"/>
                <w:i w:val="0"/>
                <w:iCs w:val="0"/>
                <w:color w:val="000000"/>
                <w:sz w:val="21"/>
                <w:szCs w:val="21"/>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B86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F18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6C7CC2">
            <w:pPr>
              <w:jc w:val="center"/>
              <w:rPr>
                <w:rFonts w:hint="eastAsia" w:ascii="宋体" w:hAnsi="宋体" w:eastAsia="宋体" w:cs="宋体"/>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D84107">
            <w:pPr>
              <w:jc w:val="center"/>
              <w:rPr>
                <w:rFonts w:hint="eastAsia" w:ascii="宋体" w:hAnsi="宋体" w:eastAsia="宋体" w:cs="宋体"/>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F77A6">
            <w:pPr>
              <w:jc w:val="left"/>
              <w:rPr>
                <w:rFonts w:hint="eastAsia" w:ascii="宋体" w:hAnsi="宋体" w:eastAsia="宋体" w:cs="宋体"/>
                <w:i w:val="0"/>
                <w:iCs w:val="0"/>
                <w:color w:val="000000"/>
                <w:sz w:val="21"/>
                <w:szCs w:val="21"/>
                <w:u w:val="none"/>
              </w:rPr>
            </w:pPr>
          </w:p>
        </w:tc>
      </w:tr>
      <w:tr w14:paraId="6E988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283"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7BA2">
            <w:pPr>
              <w:keepNext w:val="0"/>
              <w:keepLines w:val="0"/>
              <w:widowControl/>
              <w:suppressLineNumbers w:val="0"/>
              <w:jc w:val="center"/>
              <w:textAlignment w:val="center"/>
              <w:rPr>
                <w:rFonts w:hint="default" w:ascii="等线" w:hAnsi="等线" w:eastAsia="等线" w:cs="等线"/>
                <w:b/>
                <w:bCs/>
                <w:i w:val="0"/>
                <w:iCs w:val="0"/>
                <w:color w:val="000000"/>
                <w:sz w:val="24"/>
                <w:szCs w:val="24"/>
                <w:u w:val="none"/>
              </w:rPr>
            </w:pPr>
            <w:r>
              <w:rPr>
                <w:rFonts w:hint="default" w:ascii="等线" w:hAnsi="等线" w:eastAsia="等线" w:cs="等线"/>
                <w:b/>
                <w:bCs/>
                <w:i w:val="0"/>
                <w:iCs w:val="0"/>
                <w:color w:val="000000"/>
                <w:kern w:val="0"/>
                <w:sz w:val="24"/>
                <w:szCs w:val="24"/>
                <w:u w:val="none"/>
                <w:lang w:val="en-US" w:eastAsia="zh-CN" w:bidi="ar"/>
              </w:rPr>
              <w:t>不含税合计</w:t>
            </w: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BBA3A">
            <w:pPr>
              <w:rPr>
                <w:rFonts w:hint="default" w:ascii="等线" w:hAnsi="等线" w:eastAsia="等线" w:cs="等线"/>
                <w:b/>
                <w:bCs/>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547BD">
            <w:pPr>
              <w:jc w:val="left"/>
              <w:rPr>
                <w:rFonts w:hint="default" w:ascii="等线" w:hAnsi="等线" w:eastAsia="等线" w:cs="等线"/>
                <w:b/>
                <w:bCs/>
                <w:i w:val="0"/>
                <w:iCs w:val="0"/>
                <w:color w:val="000000"/>
                <w:sz w:val="24"/>
                <w:szCs w:val="24"/>
                <w:u w:val="none"/>
              </w:rPr>
            </w:pPr>
          </w:p>
        </w:tc>
      </w:tr>
      <w:tr w14:paraId="48549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283"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5F223">
            <w:pPr>
              <w:keepNext w:val="0"/>
              <w:keepLines w:val="0"/>
              <w:widowControl/>
              <w:suppressLineNumbers w:val="0"/>
              <w:jc w:val="center"/>
              <w:textAlignment w:val="center"/>
              <w:rPr>
                <w:rFonts w:hint="default" w:ascii="等线" w:hAnsi="等线" w:eastAsia="等线" w:cs="等线"/>
                <w:b/>
                <w:bCs/>
                <w:i w:val="0"/>
                <w:iCs w:val="0"/>
                <w:color w:val="000000"/>
                <w:sz w:val="24"/>
                <w:szCs w:val="24"/>
                <w:u w:val="none"/>
              </w:rPr>
            </w:pPr>
            <w:r>
              <w:rPr>
                <w:rFonts w:hint="default" w:ascii="等线" w:hAnsi="等线" w:eastAsia="等线" w:cs="等线"/>
                <w:b/>
                <w:bCs/>
                <w:i w:val="0"/>
                <w:iCs w:val="0"/>
                <w:color w:val="000000"/>
                <w:kern w:val="0"/>
                <w:sz w:val="24"/>
                <w:szCs w:val="24"/>
                <w:u w:val="none"/>
                <w:lang w:val="en-US" w:eastAsia="zh-CN" w:bidi="ar"/>
              </w:rPr>
              <w:t>税金    %</w:t>
            </w: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3F50">
            <w:pPr>
              <w:rPr>
                <w:rFonts w:hint="default" w:ascii="等线" w:hAnsi="等线" w:eastAsia="等线" w:cs="等线"/>
                <w:b/>
                <w:bCs/>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2E69D">
            <w:pPr>
              <w:jc w:val="left"/>
              <w:rPr>
                <w:rFonts w:hint="default" w:ascii="等线" w:hAnsi="等线" w:eastAsia="等线" w:cs="等线"/>
                <w:b/>
                <w:bCs/>
                <w:i w:val="0"/>
                <w:iCs w:val="0"/>
                <w:color w:val="000000"/>
                <w:sz w:val="24"/>
                <w:szCs w:val="24"/>
                <w:u w:val="none"/>
              </w:rPr>
            </w:pPr>
          </w:p>
        </w:tc>
      </w:tr>
      <w:tr w14:paraId="49540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283"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B570">
            <w:pPr>
              <w:keepNext w:val="0"/>
              <w:keepLines w:val="0"/>
              <w:widowControl/>
              <w:suppressLineNumbers w:val="0"/>
              <w:jc w:val="center"/>
              <w:textAlignment w:val="center"/>
              <w:rPr>
                <w:rFonts w:hint="default" w:ascii="等线" w:hAnsi="等线" w:eastAsia="等线" w:cs="等线"/>
                <w:b/>
                <w:bCs/>
                <w:i w:val="0"/>
                <w:iCs w:val="0"/>
                <w:color w:val="000000"/>
                <w:sz w:val="24"/>
                <w:szCs w:val="24"/>
                <w:u w:val="none"/>
              </w:rPr>
            </w:pPr>
            <w:r>
              <w:rPr>
                <w:rFonts w:hint="default" w:ascii="等线" w:hAnsi="等线" w:eastAsia="等线" w:cs="等线"/>
                <w:b/>
                <w:bCs/>
                <w:i w:val="0"/>
                <w:iCs w:val="0"/>
                <w:color w:val="000000"/>
                <w:kern w:val="0"/>
                <w:sz w:val="24"/>
                <w:szCs w:val="24"/>
                <w:u w:val="none"/>
                <w:lang w:val="en-US" w:eastAsia="zh-CN" w:bidi="ar"/>
              </w:rPr>
              <w:t>含税合计</w:t>
            </w: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BF25">
            <w:pPr>
              <w:rPr>
                <w:rFonts w:hint="default" w:ascii="等线" w:hAnsi="等线" w:eastAsia="等线" w:cs="等线"/>
                <w:b/>
                <w:bCs/>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67C7">
            <w:pPr>
              <w:jc w:val="left"/>
              <w:rPr>
                <w:rFonts w:hint="default" w:ascii="等线" w:hAnsi="等线" w:eastAsia="等线" w:cs="等线"/>
                <w:b/>
                <w:bCs/>
                <w:i w:val="0"/>
                <w:iCs w:val="0"/>
                <w:color w:val="000000"/>
                <w:sz w:val="24"/>
                <w:szCs w:val="24"/>
                <w:u w:val="none"/>
              </w:rPr>
            </w:pPr>
          </w:p>
        </w:tc>
      </w:tr>
      <w:tr w14:paraId="37836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876" w:type="dxa"/>
            <w:tcBorders>
              <w:top w:val="nil"/>
              <w:left w:val="nil"/>
              <w:bottom w:val="nil"/>
              <w:right w:val="nil"/>
            </w:tcBorders>
            <w:shd w:val="clear" w:color="auto" w:fill="auto"/>
            <w:noWrap/>
            <w:vAlign w:val="bottom"/>
          </w:tcPr>
          <w:p w14:paraId="1CB72963">
            <w:pPr>
              <w:rPr>
                <w:rFonts w:hint="eastAsia" w:ascii="宋体" w:hAnsi="宋体" w:eastAsia="宋体" w:cs="宋体"/>
                <w:i w:val="0"/>
                <w:iCs w:val="0"/>
                <w:color w:val="000000"/>
                <w:sz w:val="20"/>
                <w:szCs w:val="20"/>
                <w:u w:val="none"/>
              </w:rPr>
            </w:pPr>
          </w:p>
        </w:tc>
        <w:tc>
          <w:tcPr>
            <w:tcW w:w="1416" w:type="dxa"/>
            <w:tcBorders>
              <w:top w:val="nil"/>
              <w:left w:val="nil"/>
              <w:bottom w:val="nil"/>
              <w:right w:val="nil"/>
            </w:tcBorders>
            <w:shd w:val="clear" w:color="auto" w:fill="auto"/>
            <w:noWrap/>
            <w:vAlign w:val="bottom"/>
          </w:tcPr>
          <w:p w14:paraId="429A44BE">
            <w:pPr>
              <w:rPr>
                <w:rFonts w:hint="eastAsia" w:ascii="宋体" w:hAnsi="宋体" w:eastAsia="宋体" w:cs="宋体"/>
                <w:i w:val="0"/>
                <w:iCs w:val="0"/>
                <w:color w:val="000000"/>
                <w:sz w:val="20"/>
                <w:szCs w:val="20"/>
                <w:u w:val="none"/>
              </w:rPr>
            </w:pPr>
          </w:p>
        </w:tc>
        <w:tc>
          <w:tcPr>
            <w:tcW w:w="1870" w:type="dxa"/>
            <w:tcBorders>
              <w:top w:val="nil"/>
              <w:left w:val="nil"/>
              <w:bottom w:val="nil"/>
              <w:right w:val="nil"/>
            </w:tcBorders>
            <w:shd w:val="clear" w:color="auto" w:fill="auto"/>
            <w:noWrap/>
            <w:vAlign w:val="bottom"/>
          </w:tcPr>
          <w:p w14:paraId="2AE07782">
            <w:pPr>
              <w:rPr>
                <w:rFonts w:hint="eastAsia" w:ascii="宋体" w:hAnsi="宋体" w:eastAsia="宋体" w:cs="宋体"/>
                <w:i w:val="0"/>
                <w:iCs w:val="0"/>
                <w:color w:val="000000"/>
                <w:sz w:val="20"/>
                <w:szCs w:val="20"/>
                <w:u w:val="none"/>
              </w:rPr>
            </w:pPr>
          </w:p>
        </w:tc>
        <w:tc>
          <w:tcPr>
            <w:tcW w:w="1372" w:type="dxa"/>
            <w:tcBorders>
              <w:top w:val="nil"/>
              <w:left w:val="nil"/>
              <w:bottom w:val="nil"/>
              <w:right w:val="nil"/>
            </w:tcBorders>
            <w:shd w:val="clear" w:color="auto" w:fill="auto"/>
            <w:noWrap/>
            <w:vAlign w:val="bottom"/>
          </w:tcPr>
          <w:p w14:paraId="0A1B065E">
            <w:pPr>
              <w:rPr>
                <w:rFonts w:hint="eastAsia" w:ascii="宋体" w:hAnsi="宋体" w:eastAsia="宋体" w:cs="宋体"/>
                <w:i w:val="0"/>
                <w:iCs w:val="0"/>
                <w:color w:val="000000"/>
                <w:sz w:val="20"/>
                <w:szCs w:val="20"/>
                <w:u w:val="none"/>
              </w:rPr>
            </w:pPr>
          </w:p>
        </w:tc>
        <w:tc>
          <w:tcPr>
            <w:tcW w:w="417" w:type="dxa"/>
            <w:tcBorders>
              <w:top w:val="nil"/>
              <w:left w:val="nil"/>
              <w:bottom w:val="nil"/>
              <w:right w:val="nil"/>
            </w:tcBorders>
            <w:shd w:val="clear" w:color="auto" w:fill="auto"/>
            <w:noWrap/>
            <w:vAlign w:val="bottom"/>
          </w:tcPr>
          <w:p w14:paraId="5B9435AC">
            <w:pPr>
              <w:rPr>
                <w:rFonts w:hint="eastAsia" w:ascii="宋体" w:hAnsi="宋体" w:eastAsia="宋体" w:cs="宋体"/>
                <w:i w:val="0"/>
                <w:iCs w:val="0"/>
                <w:color w:val="000000"/>
                <w:sz w:val="20"/>
                <w:szCs w:val="20"/>
                <w:u w:val="none"/>
              </w:rPr>
            </w:pPr>
          </w:p>
        </w:tc>
        <w:tc>
          <w:tcPr>
            <w:tcW w:w="1016" w:type="dxa"/>
            <w:tcBorders>
              <w:top w:val="nil"/>
              <w:left w:val="nil"/>
              <w:bottom w:val="nil"/>
              <w:right w:val="nil"/>
            </w:tcBorders>
            <w:shd w:val="clear" w:color="auto" w:fill="auto"/>
            <w:noWrap/>
            <w:vAlign w:val="bottom"/>
          </w:tcPr>
          <w:p w14:paraId="04EF0EAD">
            <w:pPr>
              <w:rPr>
                <w:rFonts w:hint="eastAsia" w:ascii="宋体" w:hAnsi="宋体" w:eastAsia="宋体" w:cs="宋体"/>
                <w:i w:val="0"/>
                <w:iCs w:val="0"/>
                <w:color w:val="000000"/>
                <w:sz w:val="20"/>
                <w:szCs w:val="20"/>
                <w:u w:val="none"/>
              </w:rPr>
            </w:pPr>
          </w:p>
        </w:tc>
        <w:tc>
          <w:tcPr>
            <w:tcW w:w="1316" w:type="dxa"/>
            <w:tcBorders>
              <w:top w:val="nil"/>
              <w:left w:val="nil"/>
              <w:bottom w:val="nil"/>
              <w:right w:val="nil"/>
            </w:tcBorders>
            <w:shd w:val="clear" w:color="auto" w:fill="auto"/>
            <w:noWrap/>
            <w:vAlign w:val="bottom"/>
          </w:tcPr>
          <w:p w14:paraId="19F9C867">
            <w:pPr>
              <w:rPr>
                <w:rFonts w:hint="eastAsia" w:ascii="宋体" w:hAnsi="宋体" w:eastAsia="宋体" w:cs="宋体"/>
                <w:i w:val="0"/>
                <w:iCs w:val="0"/>
                <w:color w:val="000000"/>
                <w:sz w:val="20"/>
                <w:szCs w:val="20"/>
                <w:u w:val="none"/>
              </w:rPr>
            </w:pPr>
          </w:p>
        </w:tc>
        <w:tc>
          <w:tcPr>
            <w:tcW w:w="819" w:type="dxa"/>
            <w:tcBorders>
              <w:top w:val="nil"/>
              <w:left w:val="nil"/>
              <w:bottom w:val="nil"/>
              <w:right w:val="nil"/>
            </w:tcBorders>
            <w:shd w:val="clear" w:color="auto" w:fill="auto"/>
            <w:noWrap/>
            <w:vAlign w:val="bottom"/>
          </w:tcPr>
          <w:p w14:paraId="1C660322">
            <w:pPr>
              <w:rPr>
                <w:rFonts w:hint="eastAsia" w:ascii="宋体" w:hAnsi="宋体" w:eastAsia="宋体" w:cs="宋体"/>
                <w:i w:val="0"/>
                <w:iCs w:val="0"/>
                <w:color w:val="000000"/>
                <w:sz w:val="20"/>
                <w:szCs w:val="20"/>
                <w:u w:val="none"/>
              </w:rPr>
            </w:pPr>
          </w:p>
        </w:tc>
        <w:tc>
          <w:tcPr>
            <w:tcW w:w="1946" w:type="dxa"/>
            <w:tcBorders>
              <w:top w:val="nil"/>
              <w:left w:val="nil"/>
              <w:bottom w:val="nil"/>
              <w:right w:val="nil"/>
            </w:tcBorders>
            <w:shd w:val="clear" w:color="auto" w:fill="auto"/>
            <w:noWrap/>
            <w:vAlign w:val="bottom"/>
          </w:tcPr>
          <w:p w14:paraId="6E8F8F98">
            <w:pPr>
              <w:rPr>
                <w:rFonts w:hint="eastAsia" w:ascii="宋体" w:hAnsi="宋体" w:eastAsia="宋体" w:cs="宋体"/>
                <w:i w:val="0"/>
                <w:iCs w:val="0"/>
                <w:color w:val="000000"/>
                <w:sz w:val="20"/>
                <w:szCs w:val="20"/>
                <w:u w:val="none"/>
              </w:rPr>
            </w:pPr>
          </w:p>
        </w:tc>
      </w:tr>
      <w:tr w14:paraId="6DCD6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76" w:type="dxa"/>
            <w:tcBorders>
              <w:top w:val="nil"/>
              <w:left w:val="nil"/>
              <w:bottom w:val="nil"/>
              <w:right w:val="nil"/>
            </w:tcBorders>
            <w:shd w:val="clear" w:color="auto" w:fill="auto"/>
            <w:noWrap/>
            <w:vAlign w:val="bottom"/>
          </w:tcPr>
          <w:p w14:paraId="54651087">
            <w:pPr>
              <w:rPr>
                <w:rFonts w:hint="eastAsia" w:ascii="宋体" w:hAnsi="宋体" w:eastAsia="宋体" w:cs="宋体"/>
                <w:i w:val="0"/>
                <w:iCs w:val="0"/>
                <w:color w:val="000000"/>
                <w:sz w:val="20"/>
                <w:szCs w:val="20"/>
                <w:u w:val="none"/>
              </w:rPr>
            </w:pPr>
          </w:p>
        </w:tc>
        <w:tc>
          <w:tcPr>
            <w:tcW w:w="1416" w:type="dxa"/>
            <w:tcBorders>
              <w:top w:val="nil"/>
              <w:left w:val="nil"/>
              <w:bottom w:val="nil"/>
              <w:right w:val="nil"/>
            </w:tcBorders>
            <w:shd w:val="clear" w:color="auto" w:fill="auto"/>
            <w:noWrap/>
            <w:vAlign w:val="bottom"/>
          </w:tcPr>
          <w:p w14:paraId="78C06DEB">
            <w:pPr>
              <w:rPr>
                <w:rFonts w:hint="eastAsia" w:ascii="宋体" w:hAnsi="宋体" w:eastAsia="宋体" w:cs="宋体"/>
                <w:i w:val="0"/>
                <w:iCs w:val="0"/>
                <w:color w:val="000000"/>
                <w:sz w:val="20"/>
                <w:szCs w:val="20"/>
                <w:u w:val="none"/>
              </w:rPr>
            </w:pPr>
          </w:p>
        </w:tc>
        <w:tc>
          <w:tcPr>
            <w:tcW w:w="1870" w:type="dxa"/>
            <w:tcBorders>
              <w:top w:val="nil"/>
              <w:left w:val="nil"/>
              <w:bottom w:val="nil"/>
              <w:right w:val="nil"/>
            </w:tcBorders>
            <w:shd w:val="clear" w:color="auto" w:fill="auto"/>
            <w:noWrap/>
            <w:vAlign w:val="bottom"/>
          </w:tcPr>
          <w:p w14:paraId="70A2F1E4">
            <w:pPr>
              <w:rPr>
                <w:rFonts w:hint="eastAsia" w:ascii="宋体" w:hAnsi="宋体" w:eastAsia="宋体" w:cs="宋体"/>
                <w:i w:val="0"/>
                <w:iCs w:val="0"/>
                <w:color w:val="000000"/>
                <w:sz w:val="20"/>
                <w:szCs w:val="20"/>
                <w:u w:val="none"/>
              </w:rPr>
            </w:pPr>
          </w:p>
        </w:tc>
        <w:tc>
          <w:tcPr>
            <w:tcW w:w="1372" w:type="dxa"/>
            <w:tcBorders>
              <w:top w:val="nil"/>
              <w:left w:val="nil"/>
              <w:bottom w:val="nil"/>
              <w:right w:val="nil"/>
            </w:tcBorders>
            <w:shd w:val="clear" w:color="auto" w:fill="auto"/>
            <w:noWrap/>
            <w:vAlign w:val="bottom"/>
          </w:tcPr>
          <w:p w14:paraId="1CD76657">
            <w:pPr>
              <w:rPr>
                <w:rFonts w:hint="eastAsia" w:ascii="宋体" w:hAnsi="宋体" w:eastAsia="宋体" w:cs="宋体"/>
                <w:i w:val="0"/>
                <w:iCs w:val="0"/>
                <w:color w:val="000000"/>
                <w:sz w:val="20"/>
                <w:szCs w:val="20"/>
                <w:u w:val="none"/>
              </w:rPr>
            </w:pPr>
          </w:p>
        </w:tc>
        <w:tc>
          <w:tcPr>
            <w:tcW w:w="417" w:type="dxa"/>
            <w:tcBorders>
              <w:top w:val="nil"/>
              <w:left w:val="nil"/>
              <w:bottom w:val="nil"/>
              <w:right w:val="nil"/>
            </w:tcBorders>
            <w:shd w:val="clear" w:color="auto" w:fill="auto"/>
            <w:noWrap/>
            <w:vAlign w:val="bottom"/>
          </w:tcPr>
          <w:p w14:paraId="4FF822F1">
            <w:pPr>
              <w:rPr>
                <w:rFonts w:hint="eastAsia" w:ascii="宋体" w:hAnsi="宋体" w:eastAsia="宋体" w:cs="宋体"/>
                <w:i w:val="0"/>
                <w:iCs w:val="0"/>
                <w:color w:val="000000"/>
                <w:sz w:val="20"/>
                <w:szCs w:val="20"/>
                <w:u w:val="none"/>
              </w:rPr>
            </w:pPr>
          </w:p>
        </w:tc>
        <w:tc>
          <w:tcPr>
            <w:tcW w:w="1016" w:type="dxa"/>
            <w:tcBorders>
              <w:top w:val="nil"/>
              <w:left w:val="nil"/>
              <w:bottom w:val="nil"/>
              <w:right w:val="nil"/>
            </w:tcBorders>
            <w:shd w:val="clear" w:color="auto" w:fill="auto"/>
            <w:noWrap/>
            <w:vAlign w:val="bottom"/>
          </w:tcPr>
          <w:p w14:paraId="662A07AF">
            <w:pPr>
              <w:rPr>
                <w:rFonts w:hint="eastAsia" w:ascii="宋体" w:hAnsi="宋体" w:eastAsia="宋体" w:cs="宋体"/>
                <w:i w:val="0"/>
                <w:iCs w:val="0"/>
                <w:color w:val="000000"/>
                <w:sz w:val="20"/>
                <w:szCs w:val="20"/>
                <w:u w:val="none"/>
              </w:rPr>
            </w:pPr>
          </w:p>
        </w:tc>
        <w:tc>
          <w:tcPr>
            <w:tcW w:w="1316" w:type="dxa"/>
            <w:tcBorders>
              <w:top w:val="nil"/>
              <w:left w:val="nil"/>
              <w:bottom w:val="nil"/>
              <w:right w:val="nil"/>
            </w:tcBorders>
            <w:shd w:val="clear" w:color="auto" w:fill="auto"/>
            <w:noWrap/>
            <w:vAlign w:val="bottom"/>
          </w:tcPr>
          <w:p w14:paraId="1B74068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报价单位：</w:t>
            </w:r>
          </w:p>
        </w:tc>
        <w:tc>
          <w:tcPr>
            <w:tcW w:w="819" w:type="dxa"/>
            <w:tcBorders>
              <w:top w:val="nil"/>
              <w:left w:val="nil"/>
              <w:bottom w:val="nil"/>
              <w:right w:val="nil"/>
            </w:tcBorders>
            <w:shd w:val="clear" w:color="auto" w:fill="auto"/>
            <w:noWrap/>
            <w:vAlign w:val="bottom"/>
          </w:tcPr>
          <w:p w14:paraId="7E7EB88D">
            <w:pPr>
              <w:rPr>
                <w:rFonts w:hint="eastAsia" w:ascii="宋体" w:hAnsi="宋体" w:eastAsia="宋体" w:cs="宋体"/>
                <w:i w:val="0"/>
                <w:iCs w:val="0"/>
                <w:color w:val="000000"/>
                <w:sz w:val="20"/>
                <w:szCs w:val="20"/>
                <w:u w:val="none"/>
              </w:rPr>
            </w:pPr>
          </w:p>
        </w:tc>
        <w:tc>
          <w:tcPr>
            <w:tcW w:w="1946" w:type="dxa"/>
            <w:tcBorders>
              <w:top w:val="nil"/>
              <w:left w:val="nil"/>
              <w:bottom w:val="nil"/>
              <w:right w:val="nil"/>
            </w:tcBorders>
            <w:shd w:val="clear" w:color="auto" w:fill="auto"/>
            <w:noWrap/>
            <w:vAlign w:val="bottom"/>
          </w:tcPr>
          <w:p w14:paraId="24C049A3">
            <w:pPr>
              <w:rPr>
                <w:rFonts w:hint="eastAsia" w:ascii="宋体" w:hAnsi="宋体" w:eastAsia="宋体" w:cs="宋体"/>
                <w:i w:val="0"/>
                <w:iCs w:val="0"/>
                <w:color w:val="000000"/>
                <w:sz w:val="20"/>
                <w:szCs w:val="20"/>
                <w:u w:val="none"/>
              </w:rPr>
            </w:pPr>
          </w:p>
        </w:tc>
      </w:tr>
      <w:tr w14:paraId="54865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76" w:type="dxa"/>
            <w:tcBorders>
              <w:top w:val="nil"/>
              <w:left w:val="nil"/>
              <w:bottom w:val="nil"/>
              <w:right w:val="nil"/>
            </w:tcBorders>
            <w:shd w:val="clear" w:color="auto" w:fill="auto"/>
            <w:noWrap/>
            <w:vAlign w:val="bottom"/>
          </w:tcPr>
          <w:p w14:paraId="73BD08B4">
            <w:pPr>
              <w:rPr>
                <w:rFonts w:hint="eastAsia" w:ascii="宋体" w:hAnsi="宋体" w:eastAsia="宋体" w:cs="宋体"/>
                <w:i w:val="0"/>
                <w:iCs w:val="0"/>
                <w:color w:val="000000"/>
                <w:sz w:val="20"/>
                <w:szCs w:val="20"/>
                <w:u w:val="none"/>
              </w:rPr>
            </w:pPr>
          </w:p>
        </w:tc>
        <w:tc>
          <w:tcPr>
            <w:tcW w:w="1416" w:type="dxa"/>
            <w:tcBorders>
              <w:top w:val="nil"/>
              <w:left w:val="nil"/>
              <w:bottom w:val="nil"/>
              <w:right w:val="nil"/>
            </w:tcBorders>
            <w:shd w:val="clear" w:color="auto" w:fill="auto"/>
            <w:noWrap/>
            <w:vAlign w:val="bottom"/>
          </w:tcPr>
          <w:p w14:paraId="5B42C4FE">
            <w:pPr>
              <w:rPr>
                <w:rFonts w:hint="eastAsia" w:ascii="宋体" w:hAnsi="宋体" w:eastAsia="宋体" w:cs="宋体"/>
                <w:i w:val="0"/>
                <w:iCs w:val="0"/>
                <w:color w:val="000000"/>
                <w:sz w:val="20"/>
                <w:szCs w:val="20"/>
                <w:u w:val="none"/>
              </w:rPr>
            </w:pPr>
          </w:p>
        </w:tc>
        <w:tc>
          <w:tcPr>
            <w:tcW w:w="1870" w:type="dxa"/>
            <w:tcBorders>
              <w:top w:val="nil"/>
              <w:left w:val="nil"/>
              <w:bottom w:val="nil"/>
              <w:right w:val="nil"/>
            </w:tcBorders>
            <w:shd w:val="clear" w:color="auto" w:fill="auto"/>
            <w:noWrap/>
            <w:vAlign w:val="bottom"/>
          </w:tcPr>
          <w:p w14:paraId="3864ADF1">
            <w:pPr>
              <w:rPr>
                <w:rFonts w:hint="eastAsia" w:ascii="宋体" w:hAnsi="宋体" w:eastAsia="宋体" w:cs="宋体"/>
                <w:i w:val="0"/>
                <w:iCs w:val="0"/>
                <w:color w:val="000000"/>
                <w:sz w:val="20"/>
                <w:szCs w:val="20"/>
                <w:u w:val="none"/>
              </w:rPr>
            </w:pPr>
          </w:p>
        </w:tc>
        <w:tc>
          <w:tcPr>
            <w:tcW w:w="1372" w:type="dxa"/>
            <w:tcBorders>
              <w:top w:val="nil"/>
              <w:left w:val="nil"/>
              <w:bottom w:val="nil"/>
              <w:right w:val="nil"/>
            </w:tcBorders>
            <w:shd w:val="clear" w:color="auto" w:fill="auto"/>
            <w:noWrap/>
            <w:vAlign w:val="bottom"/>
          </w:tcPr>
          <w:p w14:paraId="797448D3">
            <w:pPr>
              <w:rPr>
                <w:rFonts w:hint="eastAsia" w:ascii="宋体" w:hAnsi="宋体" w:eastAsia="宋体" w:cs="宋体"/>
                <w:i w:val="0"/>
                <w:iCs w:val="0"/>
                <w:color w:val="000000"/>
                <w:sz w:val="20"/>
                <w:szCs w:val="20"/>
                <w:u w:val="none"/>
              </w:rPr>
            </w:pPr>
          </w:p>
        </w:tc>
        <w:tc>
          <w:tcPr>
            <w:tcW w:w="417" w:type="dxa"/>
            <w:tcBorders>
              <w:top w:val="nil"/>
              <w:left w:val="nil"/>
              <w:bottom w:val="nil"/>
              <w:right w:val="nil"/>
            </w:tcBorders>
            <w:shd w:val="clear" w:color="auto" w:fill="auto"/>
            <w:noWrap/>
            <w:vAlign w:val="bottom"/>
          </w:tcPr>
          <w:p w14:paraId="0B380AB2">
            <w:pPr>
              <w:rPr>
                <w:rFonts w:hint="eastAsia" w:ascii="宋体" w:hAnsi="宋体" w:eastAsia="宋体" w:cs="宋体"/>
                <w:i w:val="0"/>
                <w:iCs w:val="0"/>
                <w:color w:val="000000"/>
                <w:sz w:val="20"/>
                <w:szCs w:val="20"/>
                <w:u w:val="none"/>
              </w:rPr>
            </w:pPr>
          </w:p>
        </w:tc>
        <w:tc>
          <w:tcPr>
            <w:tcW w:w="1016" w:type="dxa"/>
            <w:tcBorders>
              <w:top w:val="nil"/>
              <w:left w:val="nil"/>
              <w:bottom w:val="nil"/>
              <w:right w:val="nil"/>
            </w:tcBorders>
            <w:shd w:val="clear" w:color="auto" w:fill="auto"/>
            <w:noWrap/>
            <w:vAlign w:val="bottom"/>
          </w:tcPr>
          <w:p w14:paraId="79C0896D">
            <w:pPr>
              <w:rPr>
                <w:rFonts w:hint="eastAsia" w:ascii="宋体" w:hAnsi="宋体" w:eastAsia="宋体" w:cs="宋体"/>
                <w:i w:val="0"/>
                <w:iCs w:val="0"/>
                <w:color w:val="000000"/>
                <w:sz w:val="20"/>
                <w:szCs w:val="20"/>
                <w:u w:val="none"/>
              </w:rPr>
            </w:pPr>
          </w:p>
        </w:tc>
        <w:tc>
          <w:tcPr>
            <w:tcW w:w="1316" w:type="dxa"/>
            <w:tcBorders>
              <w:top w:val="nil"/>
              <w:left w:val="nil"/>
              <w:bottom w:val="nil"/>
              <w:right w:val="nil"/>
            </w:tcBorders>
            <w:shd w:val="clear" w:color="auto" w:fill="auto"/>
            <w:noWrap/>
            <w:vAlign w:val="bottom"/>
          </w:tcPr>
          <w:p w14:paraId="177C5508">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日期：</w:t>
            </w:r>
          </w:p>
        </w:tc>
        <w:tc>
          <w:tcPr>
            <w:tcW w:w="819" w:type="dxa"/>
            <w:tcBorders>
              <w:top w:val="nil"/>
              <w:left w:val="nil"/>
              <w:bottom w:val="nil"/>
              <w:right w:val="nil"/>
            </w:tcBorders>
            <w:shd w:val="clear" w:color="auto" w:fill="auto"/>
            <w:noWrap/>
            <w:vAlign w:val="bottom"/>
          </w:tcPr>
          <w:p w14:paraId="51697F69">
            <w:pPr>
              <w:rPr>
                <w:rFonts w:hint="eastAsia" w:ascii="宋体" w:hAnsi="宋体" w:eastAsia="宋体" w:cs="宋体"/>
                <w:i w:val="0"/>
                <w:iCs w:val="0"/>
                <w:color w:val="000000"/>
                <w:sz w:val="20"/>
                <w:szCs w:val="20"/>
                <w:u w:val="none"/>
              </w:rPr>
            </w:pPr>
          </w:p>
        </w:tc>
        <w:tc>
          <w:tcPr>
            <w:tcW w:w="1946" w:type="dxa"/>
            <w:tcBorders>
              <w:top w:val="nil"/>
              <w:left w:val="nil"/>
              <w:bottom w:val="nil"/>
              <w:right w:val="nil"/>
            </w:tcBorders>
            <w:shd w:val="clear" w:color="auto" w:fill="auto"/>
            <w:noWrap/>
            <w:vAlign w:val="bottom"/>
          </w:tcPr>
          <w:p w14:paraId="2CE014D7">
            <w:pPr>
              <w:rPr>
                <w:rFonts w:hint="eastAsia" w:ascii="宋体" w:hAnsi="宋体" w:eastAsia="宋体" w:cs="宋体"/>
                <w:i w:val="0"/>
                <w:iCs w:val="0"/>
                <w:color w:val="000000"/>
                <w:sz w:val="20"/>
                <w:szCs w:val="20"/>
                <w:u w:val="none"/>
              </w:rPr>
            </w:pPr>
          </w:p>
        </w:tc>
      </w:tr>
    </w:tbl>
    <w:p w14:paraId="41F602AA">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09A631D8">
      <w:pPr>
        <w:jc w:val="center"/>
        <w:rPr>
          <w:rFonts w:hint="eastAsia" w:ascii="仿宋" w:hAnsi="仿宋" w:eastAsia="仿宋" w:cs="Times New Roman"/>
          <w:b/>
          <w:color w:val="000000"/>
          <w:sz w:val="36"/>
          <w:szCs w:val="36"/>
        </w:rPr>
      </w:pPr>
      <w:r>
        <w:rPr>
          <w:rFonts w:hint="eastAsia" w:ascii="仿宋" w:hAnsi="仿宋" w:eastAsia="仿宋" w:cs="Times New Roman"/>
          <w:b/>
          <w:color w:val="000000"/>
          <w:sz w:val="36"/>
          <w:szCs w:val="36"/>
        </w:rPr>
        <w:t>施工分包合同</w:t>
      </w:r>
    </w:p>
    <w:p w14:paraId="635D2576">
      <w:pPr>
        <w:jc w:val="center"/>
        <w:rPr>
          <w:rFonts w:hint="eastAsia" w:ascii="仿宋" w:hAnsi="仿宋" w:eastAsia="仿宋" w:cs="Times New Roman"/>
          <w:b/>
          <w:color w:val="000000"/>
          <w:sz w:val="36"/>
          <w:szCs w:val="36"/>
          <w:lang w:eastAsia="zh-CN"/>
        </w:rPr>
      </w:pPr>
      <w:r>
        <w:rPr>
          <w:rFonts w:hint="eastAsia" w:ascii="仿宋" w:hAnsi="仿宋" w:eastAsia="仿宋" w:cs="Times New Roman"/>
          <w:b/>
          <w:color w:val="000000"/>
          <w:sz w:val="36"/>
          <w:szCs w:val="36"/>
          <w:lang w:eastAsia="zh-CN"/>
        </w:rPr>
        <w:t>（</w:t>
      </w:r>
      <w:r>
        <w:rPr>
          <w:rFonts w:hint="eastAsia" w:ascii="仿宋" w:hAnsi="仿宋" w:eastAsia="仿宋" w:cs="Times New Roman"/>
          <w:b/>
          <w:color w:val="000000"/>
          <w:sz w:val="44"/>
          <w:szCs w:val="44"/>
          <w:lang w:val="en-US" w:eastAsia="zh-CN"/>
        </w:rPr>
        <w:t>土方、槽钢、拉森钢板桩支护工程</w:t>
      </w:r>
      <w:r>
        <w:rPr>
          <w:rFonts w:hint="eastAsia" w:ascii="仿宋" w:hAnsi="仿宋" w:eastAsia="仿宋" w:cs="Times New Roman"/>
          <w:b/>
          <w:color w:val="000000"/>
          <w:sz w:val="36"/>
          <w:szCs w:val="36"/>
          <w:lang w:eastAsia="zh-CN"/>
        </w:rPr>
        <w:t>）</w:t>
      </w:r>
    </w:p>
    <w:p w14:paraId="179D83C8">
      <w:pPr>
        <w:spacing w:line="280" w:lineRule="exact"/>
        <w:ind w:right="630"/>
        <w:jc w:val="center"/>
        <w:rPr>
          <w:rFonts w:hint="eastAsia" w:ascii="仿宋" w:hAnsi="仿宋" w:eastAsia="仿宋" w:cs="Times New Roman"/>
          <w:color w:val="000000"/>
          <w:sz w:val="24"/>
        </w:rPr>
      </w:pPr>
    </w:p>
    <w:p w14:paraId="49FC7AED">
      <w:pPr>
        <w:spacing w:line="280" w:lineRule="exact"/>
        <w:ind w:right="630"/>
        <w:jc w:val="center"/>
        <w:rPr>
          <w:rFonts w:hint="eastAsia" w:ascii="仿宋" w:hAnsi="仿宋" w:eastAsia="仿宋" w:cs="Times New Roman"/>
          <w:color w:val="000000"/>
          <w:sz w:val="24"/>
        </w:rPr>
      </w:pPr>
    </w:p>
    <w:p w14:paraId="5AB1D084">
      <w:pPr>
        <w:tabs>
          <w:tab w:val="left" w:pos="8620"/>
        </w:tabs>
        <w:wordWrap w:val="0"/>
        <w:spacing w:line="360" w:lineRule="auto"/>
        <w:ind w:right="0" w:rightChars="0"/>
        <w:jc w:val="right"/>
        <w:rPr>
          <w:rFonts w:hint="default" w:ascii="仿宋" w:hAnsi="仿宋" w:eastAsia="仿宋" w:cs="Times New Roman"/>
          <w:color w:val="0000FF"/>
          <w:sz w:val="24"/>
          <w:u w:val="single"/>
          <w:lang w:val="en-US" w:eastAsia="zh-CN"/>
        </w:rPr>
      </w:pP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分包合同编号：</w:t>
      </w:r>
      <w:r>
        <w:rPr>
          <w:rFonts w:hint="eastAsia" w:ascii="仿宋" w:hAnsi="仿宋" w:eastAsia="仿宋" w:cs="Times New Roman"/>
          <w:color w:val="auto"/>
          <w:sz w:val="24"/>
          <w:u w:val="single"/>
          <w:lang w:val="en-US" w:eastAsia="zh-CN"/>
        </w:rPr>
        <w:t xml:space="preserve">             </w:t>
      </w:r>
    </w:p>
    <w:p w14:paraId="7B061B73">
      <w:pPr>
        <w:tabs>
          <w:tab w:val="left" w:pos="8620"/>
        </w:tabs>
        <w:spacing w:line="360" w:lineRule="auto"/>
        <w:ind w:right="0" w:rightChars="0"/>
        <w:jc w:val="right"/>
        <w:rPr>
          <w:rFonts w:hint="eastAsia" w:ascii="仿宋" w:hAnsi="仿宋" w:eastAsia="仿宋" w:cs="Times New Roman"/>
          <w:color w:val="0000FF"/>
          <w:sz w:val="24"/>
          <w:u w:val="single"/>
        </w:rPr>
      </w:pPr>
    </w:p>
    <w:p w14:paraId="05639468">
      <w:pPr>
        <w:rPr>
          <w:rFonts w:hint="default" w:ascii="仿宋" w:hAnsi="仿宋" w:eastAsia="仿宋" w:cs="Times New Roman"/>
          <w:color w:val="000000"/>
          <w:sz w:val="24"/>
          <w:lang w:val="en-US"/>
        </w:rPr>
      </w:pPr>
      <w:r>
        <w:rPr>
          <w:rFonts w:hint="eastAsia" w:ascii="仿宋" w:hAnsi="仿宋" w:eastAsia="仿宋" w:cs="Times New Roman"/>
          <w:color w:val="000000"/>
          <w:sz w:val="24"/>
        </w:rPr>
        <w:t>工程项目：</w:t>
      </w:r>
      <w:r>
        <w:rPr>
          <w:rFonts w:hint="eastAsia" w:ascii="仿宋" w:hAnsi="仿宋" w:eastAsia="仿宋" w:cs="Times New Roman"/>
          <w:b w:val="0"/>
          <w:color w:val="000000"/>
          <w:sz w:val="24"/>
          <w:szCs w:val="24"/>
          <w:u w:val="single"/>
          <w:lang w:val="en-US" w:eastAsia="zh-CN"/>
        </w:rPr>
        <w:t xml:space="preserve">                     </w:t>
      </w:r>
    </w:p>
    <w:p w14:paraId="795D636A">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合同段：</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654B5CEE">
      <w:pPr>
        <w:spacing w:line="360" w:lineRule="auto"/>
        <w:rPr>
          <w:rFonts w:hint="eastAsia" w:ascii="仿宋" w:hAnsi="仿宋" w:eastAsia="仿宋" w:cs="Times New Roman"/>
          <w:color w:val="000000"/>
          <w:sz w:val="24"/>
          <w:u w:val="single"/>
        </w:rPr>
      </w:pPr>
      <w:r>
        <w:rPr>
          <w:rFonts w:hint="eastAsia" w:ascii="仿宋" w:hAnsi="仿宋" w:eastAsia="仿宋" w:cs="Times New Roman"/>
          <w:color w:val="000000"/>
          <w:sz w:val="24"/>
        </w:rPr>
        <w:t>甲方(</w:t>
      </w:r>
      <w:r>
        <w:rPr>
          <w:rFonts w:hint="eastAsia" w:ascii="仿宋" w:hAnsi="仿宋" w:eastAsia="仿宋" w:cs="Times New Roman"/>
          <w:color w:val="000000"/>
          <w:sz w:val="24"/>
          <w:lang w:val="en-US" w:eastAsia="zh-CN"/>
        </w:rPr>
        <w:t>总承包人</w:t>
      </w:r>
      <w:r>
        <w:rPr>
          <w:rFonts w:hint="eastAsia" w:ascii="仿宋" w:hAnsi="仿宋" w:eastAsia="仿宋" w:cs="Times New Roman"/>
          <w:color w:val="000000"/>
          <w:sz w:val="24"/>
        </w:rPr>
        <w:t>)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411DFC8E">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乙方(</w:t>
      </w:r>
      <w:r>
        <w:rPr>
          <w:rFonts w:hint="eastAsia" w:ascii="仿宋" w:hAnsi="仿宋" w:eastAsia="仿宋" w:cs="Times New Roman"/>
          <w:color w:val="000000"/>
          <w:sz w:val="24"/>
          <w:lang w:val="en-US" w:eastAsia="zh-CN"/>
        </w:rPr>
        <w:t>分</w:t>
      </w:r>
      <w:r>
        <w:rPr>
          <w:rFonts w:hint="eastAsia" w:ascii="仿宋" w:hAnsi="仿宋" w:eastAsia="仿宋" w:cs="Times New Roman"/>
          <w:color w:val="000000"/>
          <w:sz w:val="24"/>
          <w:lang w:eastAsia="zh-CN"/>
        </w:rPr>
        <w:t>包人</w:t>
      </w:r>
      <w:r>
        <w:rPr>
          <w:rFonts w:hint="eastAsia" w:ascii="仿宋" w:hAnsi="仿宋" w:eastAsia="仿宋" w:cs="Times New Roman"/>
          <w:color w:val="000000"/>
          <w:sz w:val="24"/>
        </w:rPr>
        <w:t>)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3FFF2431">
      <w:pPr>
        <w:spacing w:line="360" w:lineRule="auto"/>
        <w:rPr>
          <w:rFonts w:hint="eastAsia" w:ascii="仿宋" w:hAnsi="仿宋" w:eastAsia="仿宋" w:cs="Times New Roman"/>
          <w:color w:val="000000"/>
          <w:sz w:val="24"/>
        </w:rPr>
      </w:pPr>
    </w:p>
    <w:p w14:paraId="5721B8E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依照《中华人民共和国民法典》及其他有关法律、法规和规章，遵循平等、自愿、公平和诚实信用的原则，鉴于甲方与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（以下简称“业主”）签订《</w:t>
      </w:r>
      <w:r>
        <w:rPr>
          <w:rFonts w:hint="eastAsia" w:ascii="仿宋" w:hAnsi="仿宋" w:eastAsia="仿宋" w:cs="Times New Roman"/>
          <w:b w:val="0"/>
          <w:color w:val="000000"/>
          <w:sz w:val="24"/>
          <w:szCs w:val="24"/>
          <w:u w:val="single"/>
          <w:lang w:val="en-US" w:eastAsia="zh-CN"/>
        </w:rPr>
        <w:t xml:space="preserve">     </w:t>
      </w:r>
      <w:r>
        <w:rPr>
          <w:rFonts w:hint="eastAsia" w:ascii="仿宋" w:hAnsi="仿宋" w:eastAsia="仿宋" w:cs="Times New Roman"/>
          <w:sz w:val="24"/>
        </w:rPr>
        <w:t>合同》（以下简称“主合同”），由乙方承担本标段的部份分项工程，为明确双方</w:t>
      </w:r>
      <w:r>
        <w:rPr>
          <w:rFonts w:hint="eastAsia" w:ascii="仿宋" w:hAnsi="仿宋" w:eastAsia="仿宋" w:cs="Times New Roman"/>
          <w:sz w:val="24"/>
          <w:lang w:val="en-US" w:eastAsia="zh-CN"/>
        </w:rPr>
        <w:t>权利</w:t>
      </w:r>
      <w:r>
        <w:rPr>
          <w:rFonts w:hint="eastAsia" w:ascii="仿宋" w:hAnsi="仿宋" w:eastAsia="仿宋" w:cs="Times New Roman"/>
          <w:sz w:val="24"/>
        </w:rPr>
        <w:t>、</w:t>
      </w:r>
      <w:r>
        <w:rPr>
          <w:rFonts w:hint="eastAsia" w:ascii="仿宋" w:hAnsi="仿宋" w:eastAsia="仿宋" w:cs="Times New Roman"/>
          <w:sz w:val="24"/>
          <w:lang w:val="en-US" w:eastAsia="zh-CN"/>
        </w:rPr>
        <w:t>义务</w:t>
      </w:r>
      <w:r>
        <w:rPr>
          <w:rFonts w:hint="eastAsia" w:ascii="仿宋" w:hAnsi="仿宋" w:eastAsia="仿宋" w:cs="Times New Roman"/>
          <w:sz w:val="24"/>
        </w:rPr>
        <w:t>、</w:t>
      </w:r>
      <w:r>
        <w:rPr>
          <w:rFonts w:hint="eastAsia" w:ascii="仿宋" w:hAnsi="仿宋" w:eastAsia="仿宋" w:cs="Times New Roman"/>
          <w:sz w:val="24"/>
          <w:lang w:val="en-US" w:eastAsia="zh-CN"/>
        </w:rPr>
        <w:t>责任</w:t>
      </w:r>
      <w:r>
        <w:rPr>
          <w:rFonts w:hint="eastAsia" w:ascii="仿宋" w:hAnsi="仿宋" w:eastAsia="仿宋" w:cs="Times New Roman"/>
          <w:sz w:val="24"/>
        </w:rPr>
        <w:t>，</w:t>
      </w:r>
      <w:r>
        <w:rPr>
          <w:rFonts w:hint="eastAsia" w:ascii="仿宋" w:hAnsi="仿宋" w:eastAsia="仿宋" w:cs="Times New Roman"/>
          <w:strike w:val="0"/>
          <w:dstrike w:val="0"/>
          <w:sz w:val="24"/>
        </w:rPr>
        <w:t>甲乙双方</w:t>
      </w:r>
      <w:r>
        <w:rPr>
          <w:rFonts w:hint="eastAsia" w:ascii="仿宋" w:hAnsi="仿宋" w:eastAsia="仿宋" w:cs="Times New Roman"/>
          <w:sz w:val="24"/>
        </w:rPr>
        <w:t>就分包专项工程施工事项具体情况，经协商达成一致，订立本合同。</w:t>
      </w:r>
    </w:p>
    <w:p w14:paraId="2BC800E9">
      <w:pPr>
        <w:spacing w:line="360" w:lineRule="auto"/>
        <w:ind w:firstLine="482" w:firstLineChars="200"/>
        <w:rPr>
          <w:rFonts w:hint="eastAsia" w:ascii="仿宋" w:hAnsi="仿宋" w:eastAsia="仿宋" w:cs="Times New Roman"/>
          <w:sz w:val="24"/>
        </w:rPr>
      </w:pPr>
      <w:r>
        <w:rPr>
          <w:rFonts w:hint="eastAsia" w:ascii="仿宋" w:hAnsi="仿宋" w:eastAsia="仿宋" w:cs="Times New Roman"/>
          <w:b/>
          <w:sz w:val="24"/>
        </w:rPr>
        <w:t>1.</w:t>
      </w:r>
      <w:r>
        <w:rPr>
          <w:rFonts w:hint="eastAsia" w:ascii="仿宋" w:hAnsi="仿宋" w:eastAsia="仿宋" w:cs="Times New Roman"/>
          <w:b/>
          <w:sz w:val="24"/>
          <w:lang w:val="en-US" w:eastAsia="zh-CN"/>
        </w:rPr>
        <w:t>分</w:t>
      </w:r>
      <w:r>
        <w:rPr>
          <w:rFonts w:hint="eastAsia" w:ascii="仿宋" w:hAnsi="仿宋" w:eastAsia="仿宋" w:cs="Times New Roman"/>
          <w:b/>
          <w:sz w:val="24"/>
          <w:lang w:eastAsia="zh-CN"/>
        </w:rPr>
        <w:t>包人</w:t>
      </w:r>
      <w:r>
        <w:rPr>
          <w:rFonts w:hint="eastAsia" w:ascii="仿宋" w:hAnsi="仿宋" w:eastAsia="仿宋" w:cs="Times New Roman"/>
          <w:b/>
          <w:sz w:val="24"/>
        </w:rPr>
        <w:t>情况</w:t>
      </w:r>
    </w:p>
    <w:p w14:paraId="4B798E8F">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1.1</w:t>
      </w:r>
      <w:r>
        <w:rPr>
          <w:rFonts w:hint="eastAsia" w:ascii="仿宋" w:hAnsi="仿宋" w:eastAsia="仿宋" w:cs="Times New Roman"/>
          <w:sz w:val="24"/>
          <w:lang w:val="en-US" w:eastAsia="zh-CN"/>
        </w:rPr>
        <w:t>总承</w:t>
      </w:r>
      <w:r>
        <w:rPr>
          <w:rFonts w:hint="eastAsia" w:ascii="仿宋" w:hAnsi="仿宋" w:eastAsia="仿宋" w:cs="Times New Roman"/>
          <w:sz w:val="24"/>
          <w:lang w:eastAsia="zh-CN"/>
        </w:rPr>
        <w:t>包人</w:t>
      </w:r>
      <w:r>
        <w:rPr>
          <w:rFonts w:hint="eastAsia" w:ascii="仿宋" w:hAnsi="仿宋" w:eastAsia="仿宋" w:cs="Times New Roman"/>
          <w:sz w:val="24"/>
        </w:rPr>
        <w:t>名称：</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16A8C690">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注册地址：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3168C9F3">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法定代表人姓名：</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，职称：</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，职务：</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44B5D6EC">
      <w:pPr>
        <w:spacing w:line="360" w:lineRule="auto"/>
        <w:ind w:left="959" w:leftChars="228" w:hanging="480" w:hangingChars="200"/>
        <w:rPr>
          <w:rFonts w:hint="eastAsia" w:ascii="仿宋" w:hAnsi="仿宋" w:eastAsia="仿宋" w:cs="Times New Roman"/>
          <w:sz w:val="24"/>
          <w:u w:val="none"/>
          <w:lang w:eastAsia="zh-CN"/>
        </w:rPr>
      </w:pPr>
      <w:r>
        <w:rPr>
          <w:rFonts w:hint="eastAsia" w:ascii="仿宋" w:hAnsi="仿宋" w:eastAsia="仿宋" w:cs="Times New Roman"/>
          <w:sz w:val="24"/>
        </w:rPr>
        <w:t>1.2分包项目负责人姓名</w:t>
      </w:r>
      <w:r>
        <w:rPr>
          <w:rFonts w:hint="eastAsia" w:ascii="仿宋" w:hAnsi="仿宋" w:eastAsia="仿宋" w:cs="Times New Roman"/>
          <w:sz w:val="24"/>
          <w:lang w:eastAsia="zh-CN"/>
        </w:rPr>
        <w:t>：</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，职称：</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，资格：</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u w:val="none"/>
          <w:lang w:eastAsia="zh-CN"/>
        </w:rPr>
        <w:t>；</w:t>
      </w:r>
    </w:p>
    <w:p w14:paraId="4BB55936">
      <w:pPr>
        <w:spacing w:line="360" w:lineRule="auto"/>
        <w:ind w:left="959" w:leftChars="228" w:hanging="480" w:hangingChars="200"/>
        <w:rPr>
          <w:rFonts w:hint="eastAsia" w:ascii="仿宋" w:hAnsi="仿宋" w:eastAsia="仿宋" w:cs="Times New Roman"/>
          <w:sz w:val="24"/>
        </w:rPr>
      </w:pPr>
      <w:r>
        <w:rPr>
          <w:rFonts w:hint="eastAsia" w:ascii="仿宋" w:hAnsi="仿宋" w:eastAsia="仿宋" w:cs="Times New Roman"/>
          <w:sz w:val="24"/>
        </w:rPr>
        <w:t>分包技术负责人姓名：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none"/>
          <w:lang w:val="en-US" w:eastAsia="zh-CN"/>
        </w:rPr>
        <w:t>，</w:t>
      </w:r>
      <w:r>
        <w:rPr>
          <w:rFonts w:hint="eastAsia" w:ascii="仿宋" w:hAnsi="仿宋" w:eastAsia="仿宋" w:cs="Times New Roman"/>
          <w:sz w:val="24"/>
        </w:rPr>
        <w:t>职称：</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，资格：</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09F7B83B">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2.分包专项工程概况</w:t>
      </w:r>
    </w:p>
    <w:p w14:paraId="6D58F79B">
      <w:pPr>
        <w:spacing w:line="360" w:lineRule="auto"/>
        <w:ind w:firstLine="480" w:firstLineChars="200"/>
        <w:rPr>
          <w:rFonts w:hint="default" w:ascii="仿宋" w:hAnsi="仿宋" w:eastAsia="仿宋" w:cs="Times New Roman"/>
          <w:sz w:val="24"/>
          <w:lang w:val="en-US"/>
        </w:rPr>
      </w:pPr>
      <w:r>
        <w:rPr>
          <w:rFonts w:hint="eastAsia" w:ascii="仿宋" w:hAnsi="仿宋" w:eastAsia="仿宋" w:cs="Times New Roman"/>
          <w:sz w:val="24"/>
        </w:rPr>
        <w:t>2.1分包专项工程名称及地点：</w:t>
      </w:r>
      <w:r>
        <w:rPr>
          <w:rFonts w:hint="eastAsia" w:ascii="仿宋" w:hAnsi="仿宋" w:eastAsia="仿宋" w:cs="Times New Roman"/>
          <w:sz w:val="24"/>
          <w:szCs w:val="24"/>
          <w:u w:val="single"/>
          <w:lang w:val="en-US" w:eastAsia="zh-CN"/>
        </w:rPr>
        <w:t xml:space="preserve">          </w:t>
      </w:r>
    </w:p>
    <w:p w14:paraId="1EF03BFB">
      <w:pPr>
        <w:spacing w:line="360" w:lineRule="auto"/>
        <w:ind w:firstLine="480" w:firstLineChars="200"/>
        <w:rPr>
          <w:rFonts w:hint="eastAsia" w:ascii="仿宋" w:hAnsi="仿宋" w:eastAsia="仿宋" w:cs="Times New Roman"/>
          <w:color w:val="0000FF"/>
          <w:sz w:val="24"/>
        </w:rPr>
      </w:pPr>
      <w:r>
        <w:rPr>
          <w:rFonts w:hint="eastAsia" w:ascii="仿宋" w:hAnsi="仿宋" w:eastAsia="仿宋" w:cs="Times New Roman"/>
          <w:sz w:val="24"/>
        </w:rPr>
        <w:t>2.2 分包专项工程范围、内容：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color w:val="auto"/>
          <w:sz w:val="24"/>
        </w:rPr>
        <w:t xml:space="preserve"> </w:t>
      </w:r>
    </w:p>
    <w:p w14:paraId="088BD180">
      <w:pPr>
        <w:spacing w:line="360" w:lineRule="auto"/>
        <w:ind w:firstLine="480" w:firstLineChars="200"/>
        <w:rPr>
          <w:rFonts w:hint="eastAsia" w:ascii="仿宋" w:hAnsi="仿宋" w:eastAsia="仿宋" w:cs="Times New Roman"/>
          <w:b/>
          <w:sz w:val="24"/>
        </w:rPr>
      </w:pPr>
      <w:r>
        <w:rPr>
          <w:rFonts w:hint="eastAsia" w:ascii="仿宋" w:hAnsi="仿宋" w:eastAsia="仿宋" w:cs="Times New Roman"/>
          <w:sz w:val="24"/>
        </w:rPr>
        <w:t>2.2.1分包范围和工作内容：负责完成</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rPr>
        <w:t>的工程施工作业。具体工程数量见</w:t>
      </w:r>
      <w:bookmarkStart w:id="16" w:name="OLE_LINK1"/>
      <w:r>
        <w:rPr>
          <w:rFonts w:hint="eastAsia" w:ascii="仿宋" w:hAnsi="仿宋" w:eastAsia="仿宋" w:cs="Times New Roman"/>
          <w:sz w:val="24"/>
        </w:rPr>
        <w:t>附</w:t>
      </w:r>
      <w:bookmarkEnd w:id="16"/>
      <w:r>
        <w:rPr>
          <w:rFonts w:hint="eastAsia" w:ascii="仿宋" w:hAnsi="仿宋" w:eastAsia="仿宋" w:cs="Times New Roman"/>
          <w:sz w:val="24"/>
        </w:rPr>
        <w:t>表1：《分包专项工程工程量清单》，清单数量为暂定数量，实际数量按业主批复内实际完成数量且经甲乙双方确认的结算数量为准。</w:t>
      </w:r>
      <w:r>
        <w:rPr>
          <w:rFonts w:hint="eastAsia" w:ascii="仿宋" w:hAnsi="仿宋" w:eastAsia="仿宋" w:cs="Times New Roman"/>
          <w:b/>
          <w:sz w:val="24"/>
        </w:rPr>
        <w:t>中间计量及最终结算应由甲方项目经理签字并加盖项目部公章，非上述人员签字盖章的，甲方不予认可。</w:t>
      </w:r>
    </w:p>
    <w:p w14:paraId="302E263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2.2.2 乙方负责按本合同约定的分包范围内除甲方负责外的一切施工作业。包括但不限于从进场施工准备、施工全过程到</w:t>
      </w:r>
      <w:r>
        <w:rPr>
          <w:rFonts w:hint="eastAsia" w:ascii="仿宋" w:hAnsi="仿宋" w:eastAsia="仿宋" w:cs="Times New Roman"/>
          <w:sz w:val="24"/>
          <w:lang w:val="en-US" w:eastAsia="zh-CN"/>
        </w:rPr>
        <w:t>竣工验收</w:t>
      </w:r>
      <w:r>
        <w:rPr>
          <w:rFonts w:hint="eastAsia" w:ascii="仿宋" w:hAnsi="仿宋" w:eastAsia="仿宋" w:cs="Times New Roman"/>
          <w:sz w:val="24"/>
        </w:rPr>
        <w:t>，缺陷责任期内属乙方缺陷责任的缺陷修复到竣工验收所需的全部施工工作，以及完成前述工作所需的内、外业管理、相关的地方协调工作和必要的未列入清单的临时工程等。</w:t>
      </w:r>
    </w:p>
    <w:p w14:paraId="645177E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2.3 分包方式：</w:t>
      </w:r>
    </w:p>
    <w:p w14:paraId="2A31CF5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2.3.1本合同采用分项清单综合单价包干的分包方式，综合单价见附表1：《分包专项工程工程量清单》中的单价为准，工程数量按照本合同计量、支付和结算条款确定。</w:t>
      </w:r>
    </w:p>
    <w:p w14:paraId="1C33259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2.3.2乙方不得以任何形式对本合同工程进行分包、转包。</w:t>
      </w:r>
    </w:p>
    <w:p w14:paraId="683A2C7B">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3.分包合同有关款项</w:t>
      </w:r>
    </w:p>
    <w:p w14:paraId="68F383FC">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3.1 分包价款</w:t>
      </w:r>
    </w:p>
    <w:p w14:paraId="45D09DF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3.1.1本合同为固定综合单价合同，合同暂定总价为人民币</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），其中不含增值税总价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lang w:val="en-US" w:eastAsia="zh-CN"/>
        </w:rPr>
        <w:t xml:space="preserve">    </w:t>
      </w:r>
      <w:r>
        <w:rPr>
          <w:rFonts w:hint="eastAsia" w:ascii="仿宋" w:hAnsi="仿宋" w:eastAsia="仿宋" w:cs="Times New Roman"/>
          <w:sz w:val="24"/>
        </w:rPr>
        <w:t>），增值税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），增值税按不含增值税总价的</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单列</w:t>
      </w:r>
      <w:r>
        <w:rPr>
          <w:rStyle w:val="10"/>
          <w:rFonts w:hint="eastAsia" w:ascii="仿宋" w:hAnsi="仿宋" w:eastAsia="仿宋" w:cs="宋体"/>
          <w:b w:val="0"/>
          <w:sz w:val="24"/>
        </w:rPr>
        <w:t>（增值税税率随国家政策和适用税率同步调整）</w:t>
      </w:r>
      <w:r>
        <w:rPr>
          <w:rFonts w:hint="eastAsia" w:ascii="仿宋" w:hAnsi="仿宋" w:eastAsia="仿宋" w:cs="Times New Roman"/>
          <w:sz w:val="24"/>
        </w:rPr>
        <w:t>；本合同暂定总价不作为双方最终结算的依据。合同单价和暂估数量见附表1：《分包专项工程工程量清单》。实际合同总价根据乙方实际完成，由甲方确认并经监理人签认的数量按本合同后附清单所列固定单价进行计算，并结合本合同条款进行结算支付。</w:t>
      </w:r>
    </w:p>
    <w:p w14:paraId="4B382FE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3.1.2上述合同单价已包括了乙方为实施和完成上述工程量清单细目内容及其附属工作及缺陷修复工作所发生的一切费用，以及合同明示或暗示的一切风险、责任和义务。涉及工程量清单中未列的子目，其费用参照总包合同相关计量有关条款办理。</w:t>
      </w:r>
    </w:p>
    <w:p w14:paraId="47097E0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3.1.3 本合同劳务计价清单综合单价和不含增值税总价包括：人工费、机械费、材料费（甲供部分除外）、保险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本合同综合单价已经充分考虑了各种可能影响正常施工的因素以及市场风险，除甲乙双方协商一致签订书面变更协议外，本合同综合单价不因任何原因而调整。</w:t>
      </w:r>
    </w:p>
    <w:p w14:paraId="4ECF61B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因工程变更导致新的工程项目出现时，变更部分工程的综合单价按以下原则确定：</w:t>
      </w:r>
    </w:p>
    <w:p w14:paraId="3BD92BC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3.1.4 变更工程项目在附表1：《分包专项工程工程量清单》中有相对应项目的，套用附表1《分包专项工程工程量清单》中相应项目的综合单价执行。</w:t>
      </w:r>
    </w:p>
    <w:p w14:paraId="436E44F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3.1.5变更工程项目在附表1《分包专项工程工程量清单》中没有相对应项目的，以经双方确认的该项目的成本加合理的利润、税金作为综合单价。</w:t>
      </w:r>
    </w:p>
    <w:p w14:paraId="23C5F99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3.1.6当乙方在甲方要求下实施合同清单外的项目即变更工程或者本合同实际施工的数量已经超过合同清单数量时，甲乙双方必须签订补充协议。</w:t>
      </w:r>
    </w:p>
    <w:p w14:paraId="38663198">
      <w:pPr>
        <w:spacing w:line="360" w:lineRule="auto"/>
        <w:ind w:firstLine="482" w:firstLineChars="200"/>
        <w:rPr>
          <w:rFonts w:hint="eastAsia" w:ascii="仿宋" w:hAnsi="仿宋" w:eastAsia="仿宋" w:cs="Times New Roman"/>
          <w:b/>
          <w:strike w:val="0"/>
          <w:sz w:val="24"/>
          <w:highlight w:val="none"/>
        </w:rPr>
      </w:pPr>
      <w:r>
        <w:rPr>
          <w:rFonts w:hint="eastAsia" w:ascii="仿宋" w:hAnsi="仿宋" w:eastAsia="仿宋" w:cs="Times New Roman"/>
          <w:b/>
          <w:strike w:val="0"/>
          <w:sz w:val="24"/>
          <w:highlight w:val="none"/>
        </w:rPr>
        <w:t>3.2履约保函或保留金：</w:t>
      </w:r>
    </w:p>
    <w:p w14:paraId="77E97F53">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3.2.1乙方与甲方签订合同后的</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天内，应向甲方交纳</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：（a 履约保函；b履约保证金），即：</w:t>
      </w:r>
    </w:p>
    <w:p w14:paraId="43C44F8A">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a.分包合同价的</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％履约保函。</w:t>
      </w:r>
    </w:p>
    <w:p w14:paraId="43CAD55B">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b.分包合同价的</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 xml:space="preserve">％保留金计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元。</w:t>
      </w:r>
    </w:p>
    <w:p w14:paraId="7C4D9394">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3.2.2乙方严格履行了本合同规定的各项事宜，施工任务如期完工，工程质量达到甲方向发包人承诺的质量要求，无安全责任事故发生，未遗留各种纠纷，在本合同履行完毕后，给予全额退还保留金，否则甲方继续扣留或扣除部分或全部保留金。</w:t>
      </w:r>
    </w:p>
    <w:p w14:paraId="5BB6E2FF">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3.3有关本分包专项工程款项约定</w:t>
      </w:r>
    </w:p>
    <w:p w14:paraId="0C45FAE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3.3.1若在缺陷责任期内发生涉及乙方施工项目的维修费用，则由乙方全额承担，并在保留金中扣除。</w:t>
      </w:r>
    </w:p>
    <w:p w14:paraId="772CA160">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sz w:val="24"/>
        </w:rPr>
        <w:t>3.3.2安全生产费用按总包合同的专用条款的规定进行计量支付，按实投入使用，</w:t>
      </w:r>
      <w:r>
        <w:rPr>
          <w:rFonts w:hint="eastAsia" w:ascii="仿宋" w:hAnsi="仿宋" w:eastAsia="仿宋" w:cs="Times New Roman"/>
          <w:bCs/>
          <w:sz w:val="24"/>
        </w:rPr>
        <w:t>承建工程竣工后，最终由甲乙双方结算。</w:t>
      </w:r>
    </w:p>
    <w:p w14:paraId="6D0BD9E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3.3.3农民工工资支付保证金按项目专用条款或发包人规定的比例在计量支付时提取，在乙方项目完工并出具无拖欠农民工工资承诺后退还。</w:t>
      </w:r>
    </w:p>
    <w:p w14:paraId="43DF929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3.3.4本合同约定的所有保证金、保留金等到期无争议需要返还的，均不计利息。</w:t>
      </w:r>
    </w:p>
    <w:p w14:paraId="66882808">
      <w:pPr>
        <w:spacing w:before="156" w:beforeLines="50" w:line="360" w:lineRule="auto"/>
        <w:ind w:firstLine="482" w:firstLineChars="200"/>
        <w:rPr>
          <w:rFonts w:hint="eastAsia" w:ascii="仿宋" w:hAnsi="仿宋" w:eastAsia="仿宋" w:cs="Times New Roman"/>
          <w:sz w:val="24"/>
        </w:rPr>
      </w:pPr>
      <w:r>
        <w:rPr>
          <w:rFonts w:hint="eastAsia" w:ascii="仿宋" w:hAnsi="仿宋" w:eastAsia="仿宋" w:cs="Times New Roman"/>
          <w:b/>
          <w:sz w:val="24"/>
        </w:rPr>
        <w:t>4．双方责任</w:t>
      </w:r>
    </w:p>
    <w:p w14:paraId="52AFF995">
      <w:pPr>
        <w:adjustRightInd w:val="0"/>
        <w:snapToGrid w:val="0"/>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4.1甲方的责任：</w:t>
      </w:r>
    </w:p>
    <w:p w14:paraId="3E5C52D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4.1.1负责协调与业主和有关单位的关系。</w:t>
      </w:r>
    </w:p>
    <w:p w14:paraId="4C74C1E1">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4.1.2负责提供有关的图纸，技术规范，提供合格的控制桩和水准点，做好施工技术交底和工程验收工作。</w:t>
      </w:r>
    </w:p>
    <w:p w14:paraId="0D75AC2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4.1.3负责按时提供为完成本合同约定的分项工程所需的原材料、半成品料、周转材料等由甲方负责的事项，</w:t>
      </w:r>
      <w:r>
        <w:rPr>
          <w:rFonts w:hint="eastAsia" w:ascii="仿宋" w:hAnsi="仿宋" w:eastAsia="仿宋" w:cs="Times New Roman"/>
          <w:color w:val="000000"/>
          <w:sz w:val="24"/>
        </w:rPr>
        <w:t>验收乙方自购材料质量。</w:t>
      </w:r>
    </w:p>
    <w:p w14:paraId="5D75E2A6">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4.1.4负责本标段的控制测量，提交合格的控制点给乙方；组建工地试验室，负责试验室来样的试验工作，取样、试块制作等工作乙方有义务配合。</w:t>
      </w:r>
    </w:p>
    <w:p w14:paraId="4A4A9F2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4.1.5按合同要求进行计量、结算、支付。</w:t>
      </w:r>
    </w:p>
    <w:p w14:paraId="2F1DA8AE">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4.1.6对乙方的工程质量、安全、进度、工程款进行严格的监督控制，派施工员负责现场协调管理、工程验收等工作。</w:t>
      </w:r>
    </w:p>
    <w:p w14:paraId="5FAC422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4.1.7执行本分包合同条款，依据项目总体施工组织设计对其施工全过程统一指挥与管理，组织施工调度会及生产例会，下达生产计划，合理安排乙方的各项工作。</w:t>
      </w:r>
    </w:p>
    <w:p w14:paraId="296361D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4.1.8安全生产管理责任按本合同第10条和《安全生产协议》《安全生产责任书》执行。</w:t>
      </w:r>
    </w:p>
    <w:p w14:paraId="376314CE">
      <w:pPr>
        <w:adjustRightInd w:val="0"/>
        <w:snapToGrid w:val="0"/>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4.2乙方的责任：</w:t>
      </w:r>
    </w:p>
    <w:p w14:paraId="0CECC04C">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4.2.1按甲方的要求配备相应的机械和人员，服从甲方的调度指挥，完成合同范围的施工任务。</w:t>
      </w:r>
    </w:p>
    <w:p w14:paraId="59A9610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需成立健全的组织机构，配备“项目经理、现场副经理、总工”以及“工程技术、测量、安全质量、环保、物资、设备、计量、财务、试验”等相应管理和技术人员，主要人员资质需符合甲方要求。乙方应将组织机构及人员情况（需注明姓名、性别、年龄、职务、职称、学历证书、从业资格证书、业绩、身份证号码、电话号码等）报送甲方备案，同时按甲方要求提供相应证件供建设、监理单位核查，并在施工中保持稳定。施工过程中，接受甲方对相关人员的考核和评估，对认定为不适合的管理人员，限期内执行完毕甲方的更换指令。除甲方更换指令外，不得随意变更，如有更换，必须事先征得甲方书面同意。</w:t>
      </w:r>
    </w:p>
    <w:p w14:paraId="05E34A71">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乙方主要管理人员（项目负责人、技术负责人）必须坚守工地，严格请销假制度，未经甲方同意，乙方主要人员擅离工作岗位，处以</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元/人·日的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5795CB0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服从甲方管理，参加甲方组织的各种工程施工会议和甲方开展的工程管理活动，否则，甲方有权</w:t>
      </w:r>
      <w:r>
        <w:rPr>
          <w:rFonts w:hint="eastAsia" w:ascii="仿宋" w:hAnsi="仿宋" w:eastAsia="仿宋" w:cs="Times New Roman"/>
          <w:sz w:val="24"/>
          <w:lang w:val="en-US" w:eastAsia="zh-CN"/>
        </w:rPr>
        <w:t>要求</w:t>
      </w:r>
      <w:r>
        <w:rPr>
          <w:rFonts w:hint="eastAsia" w:ascii="仿宋" w:hAnsi="仿宋" w:eastAsia="仿宋" w:cs="Times New Roman"/>
          <w:sz w:val="24"/>
        </w:rPr>
        <w:t>乙方</w:t>
      </w:r>
      <w:r>
        <w:rPr>
          <w:rFonts w:hint="eastAsia" w:ascii="仿宋" w:hAnsi="仿宋" w:eastAsia="仿宋" w:cs="Times New Roman"/>
          <w:sz w:val="24"/>
          <w:lang w:val="en-US" w:eastAsia="zh-CN"/>
        </w:rPr>
        <w:t>支付违约金</w:t>
      </w:r>
      <w:r>
        <w:rPr>
          <w:rFonts w:hint="eastAsia" w:ascii="仿宋" w:hAnsi="仿宋" w:eastAsia="仿宋" w:cs="Times New Roman"/>
          <w:sz w:val="24"/>
        </w:rPr>
        <w:t>。</w:t>
      </w:r>
    </w:p>
    <w:p w14:paraId="518E6C0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在施工中及时按甲方要求调整生产要素，并在规定时间内上报各种文件、资料和报表。</w:t>
      </w:r>
    </w:p>
    <w:p w14:paraId="4610932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4.2.2严格按图纸和技术规范施工，确保质量、进度符合要求。</w:t>
      </w:r>
    </w:p>
    <w:p w14:paraId="1436822E">
      <w:pPr>
        <w:adjustRightInd w:val="0"/>
        <w:snapToGrid w:val="0"/>
        <w:spacing w:line="360" w:lineRule="auto"/>
        <w:ind w:firstLine="480" w:firstLineChars="200"/>
        <w:rPr>
          <w:rFonts w:ascii="仿宋" w:hAnsi="仿宋" w:eastAsia="仿宋" w:cs="Times New Roman"/>
          <w:sz w:val="24"/>
        </w:rPr>
      </w:pPr>
      <w:r>
        <w:rPr>
          <w:rFonts w:hint="eastAsia" w:ascii="仿宋" w:hAnsi="仿宋" w:eastAsia="仿宋" w:cs="Times New Roman"/>
          <w:sz w:val="24"/>
        </w:rPr>
        <w:t>4.2.3接受监理工程师和有关质量监督部门对工程质量的监督检查；负责做好迎接各项检查的现场准备工作，其费用已包含在清单单价中。检查中如被批评、处罚，责任和费用全部由乙方承担。</w:t>
      </w:r>
    </w:p>
    <w:p w14:paraId="06FC594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4.2.4施工过程中做好原始资料的记录和数据整理，及时移交给甲方，配合甲方做好竣工资料。</w:t>
      </w:r>
    </w:p>
    <w:p w14:paraId="421ED094">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color w:val="auto"/>
          <w:sz w:val="24"/>
          <w:highlight w:val="none"/>
        </w:rPr>
        <w:t>乙方应积极配合甲方进行结算，及时提供相应资料，因“乙方原因造成计量不能按时批复”乙方必须自行解决资金问题，确保工期目标的实现。</w:t>
      </w:r>
    </w:p>
    <w:p w14:paraId="09C055D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4.2.5对于甲供材，乙方领料用料必须办理相应的领料用料手续，领取、装卸、运输、仓储等全部费用，由乙方自行承担。如报价中含材料价，领用的材料款从工程款中扣回。每月结算时，配合甲方进行甲供料的核算，并按合同条款的约定承担全部费用。所有材料损耗率必须控制在允许的范围内，否则将在当期工程计量中扣除。</w:t>
      </w:r>
    </w:p>
    <w:p w14:paraId="18C860D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4.2.6自购的材料必须符合甲方要求，并按甲方要求办理相关手续。施工图纸、技术规范有技术标准要求的自购材料，乙方必须通知甲方验收合格方可使用。</w:t>
      </w:r>
    </w:p>
    <w:p w14:paraId="339B2B6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sz w:val="24"/>
        </w:rPr>
        <w:t>4.2.7负责本合同附表1《分包专项工程工程量清单》规定的施工用水、用电及驻地和施工必要的临时工程建设。合同工程完工后，乙方应立即进行现场清理、清除不用的设备、多余材料、建筑垃圾以及各种临时设施，保持现场的整洁、美观，费用已包含在清单综合单价中。如乙方未按要求进行清理恢复或虽进行了清理恢复但未达到地方规定或合同约定的标准，甲方有权自行或委托第三方对其进行清理恢复，所发生的费用将从应付给乙方的任何款项内扣除，并有权对乙方实施经济处罚。</w:t>
      </w:r>
      <w:r>
        <w:rPr>
          <w:rFonts w:hint="eastAsia" w:ascii="仿宋" w:hAnsi="仿宋" w:eastAsia="仿宋" w:cs="Times New Roman"/>
          <w:color w:val="000000"/>
          <w:sz w:val="24"/>
        </w:rPr>
        <w:t>在施工过程中如乙方员工发生交通事故及其他治安原因所造成乙方员工或第三方人员伤亡事故，由乙方负责承担一切后果及所有费用。</w:t>
      </w:r>
    </w:p>
    <w:p w14:paraId="71CC284D">
      <w:pPr>
        <w:adjustRightInd w:val="0"/>
        <w:snapToGrid w:val="0"/>
        <w:spacing w:line="360" w:lineRule="auto"/>
        <w:ind w:firstLine="480" w:firstLineChars="200"/>
        <w:rPr>
          <w:rFonts w:hint="eastAsia" w:ascii="仿宋" w:hAnsi="仿宋" w:eastAsia="仿宋" w:cs="Times New Roman"/>
          <w:color w:val="800000"/>
          <w:sz w:val="24"/>
        </w:rPr>
      </w:pPr>
      <w:r>
        <w:rPr>
          <w:rFonts w:hint="eastAsia" w:ascii="仿宋" w:hAnsi="仿宋" w:eastAsia="仿宋" w:cs="Times New Roman"/>
          <w:sz w:val="24"/>
        </w:rPr>
        <w:t>4.2.8安全生产管理责任按本合同第10条和《安全生产协议》《安全生产责任书》执行。</w:t>
      </w:r>
    </w:p>
    <w:p w14:paraId="13E7B08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4.2.9负责本段的控制点以外的测量工作及试验辅助工作，提供相关现场内业资料，并接受甲方的监督、检查、指导。</w:t>
      </w:r>
    </w:p>
    <w:p w14:paraId="14F747D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4.2.10负责协调本施工段的地方关系。地方治安协调费及农民工调配管理费等由乙方承担。</w:t>
      </w:r>
    </w:p>
    <w:p w14:paraId="134AB7F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4.2.11乙方须按国家有关规定和劳动合同的约定，每月按时向其所管理的员工发放工资，并将发放记录报甲方施工项目部备案。详见本合同第11条劳动关系管理条款。</w:t>
      </w:r>
    </w:p>
    <w:p w14:paraId="7E77BC1E">
      <w:pPr>
        <w:adjustRightInd w:val="0"/>
        <w:snapToGrid w:val="0"/>
        <w:spacing w:line="360" w:lineRule="auto"/>
        <w:ind w:left="120" w:leftChars="57"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4.2.12应满足甲方安全管理体系的要求。其费用已包含在清单单价中，如乙方不能按照甲方的要求实施，甲方将扣除该部分费用，其费用占合同总价的1%。</w:t>
      </w:r>
    </w:p>
    <w:p w14:paraId="05175EA7">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4.2.13乙方必须自费为其在本工程雇用的员工办理意外险、工伤保险及社会劳动保险等。详见本合同第12条保险条款。</w:t>
      </w:r>
    </w:p>
    <w:p w14:paraId="218E531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4.2.14乙方在施工过程中，必须做好有效的环境保护措施， 详见本合同第13.5条文明施工条款。</w:t>
      </w:r>
    </w:p>
    <w:p w14:paraId="5FCA152F">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4.2.15乙方应自行组织工程施工，不得将工程转包或分包，否则甲方有权终止合同，乙方承担违约责任。</w:t>
      </w:r>
    </w:p>
    <w:p w14:paraId="3EA9C45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乙方负责本合同承包范围内工程的实施、完成及缺陷修复等工作并承担相应费用，接受甲方的领导、整体协调以及施工中的监督、指令、检查。</w:t>
      </w:r>
    </w:p>
    <w:p w14:paraId="67B4E448">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缺陷责任期及缺陷责任期的工程维护依据业主规定，质量保修金依据业主规定；乙方需负责施工资料及竣工资料的收集整理，并及时上报甲方；责任期内，工程需要维修时，乙方应负责维修施工用的照明、看守围栏和警示等防护设施，并对所造成的环境污染或道路损毁等全部费用负责。</w:t>
      </w:r>
    </w:p>
    <w:p w14:paraId="1FACCF04">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乙方应</w:t>
      </w:r>
      <w:r>
        <w:rPr>
          <w:rFonts w:hint="eastAsia" w:ascii="仿宋" w:hAnsi="仿宋" w:eastAsia="仿宋" w:cs="Times New Roman"/>
          <w:sz w:val="24"/>
          <w:lang w:val="en-US" w:eastAsia="zh-CN"/>
        </w:rPr>
        <w:t>严格</w:t>
      </w:r>
      <w:r>
        <w:rPr>
          <w:rFonts w:hint="eastAsia" w:ascii="仿宋" w:hAnsi="仿宋" w:eastAsia="仿宋" w:cs="Times New Roman"/>
          <w:sz w:val="24"/>
        </w:rPr>
        <w:t>地按合同文件规定承担本合同工程的实施、完成、维护及缺陷的修复；甲方不承担任何停工及窝工损失费；由于建设单位原因造成的停工或窝工，乙方配合甲方向建设单位争取费用补偿。</w:t>
      </w:r>
    </w:p>
    <w:p w14:paraId="499527C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4.2.16乙方委派专人（有乙方的授权委托书）与甲方办理各种涉及合同、经济、财务等方面的手续。</w:t>
      </w:r>
    </w:p>
    <w:p w14:paraId="41A83A5C">
      <w:pPr>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4.2.17乙方可以直接雇用农民工，但必须依法签订用工合同，并将“工人用工合同”及“工人花名册”报甲方备案。乙方按照法律、法规和劳务用工合同按时支付劳务工资，落实各项劳动保护措施。承担拖欠农民工工资所引发的全部法律及经济责任。</w:t>
      </w:r>
    </w:p>
    <w:p w14:paraId="0DA3BD8F">
      <w:pPr>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4.2.18</w:t>
      </w:r>
      <w:r>
        <w:rPr>
          <w:rFonts w:hint="eastAsia" w:ascii="仿宋" w:hAnsi="仿宋" w:eastAsia="仿宋" w:cs="Times New Roman"/>
          <w:sz w:val="24"/>
          <w:highlight w:val="none"/>
          <w:lang w:val="en-US" w:eastAsia="zh-CN"/>
        </w:rPr>
        <w:t>如因乙方原因违约，</w:t>
      </w:r>
      <w:r>
        <w:rPr>
          <w:rFonts w:hint="eastAsia" w:ascii="仿宋" w:hAnsi="仿宋" w:eastAsia="仿宋" w:cs="Times New Roman"/>
          <w:sz w:val="24"/>
        </w:rPr>
        <w:t>乙方接受甲方按相关规定向乙方开出的违约金，甲方可直接从“认为合适”的任何一个“期中支付月份”中“应付工程款中”直接扣除。甲方向乙方开出的任何违约金将导致乙方最终的应得结算价款相应地减少。</w:t>
      </w:r>
    </w:p>
    <w:p w14:paraId="02E166F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4.2.19乙方在施工中与第三方产生的债权债务及纠纷等问题由乙方自行负责处理，并承担全部责任和费用。</w:t>
      </w:r>
    </w:p>
    <w:p w14:paraId="3B2FB010">
      <w:pPr>
        <w:spacing w:line="400" w:lineRule="exact"/>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4.2.20遵守法律法规和甲方公司制度要求。</w:t>
      </w:r>
    </w:p>
    <w:p w14:paraId="2A5B05EC">
      <w:pPr>
        <w:spacing w:before="156" w:beforeLines="50" w:line="400" w:lineRule="exact"/>
        <w:ind w:firstLine="482" w:firstLineChars="200"/>
        <w:jc w:val="left"/>
        <w:rPr>
          <w:rFonts w:hint="eastAsia" w:ascii="仿宋" w:hAnsi="仿宋" w:eastAsia="仿宋" w:cs="Times New Roman"/>
          <w:b/>
          <w:sz w:val="24"/>
        </w:rPr>
      </w:pPr>
      <w:r>
        <w:rPr>
          <w:rFonts w:hint="eastAsia" w:ascii="仿宋" w:hAnsi="仿宋" w:eastAsia="仿宋" w:cs="Times New Roman"/>
          <w:b/>
          <w:sz w:val="24"/>
        </w:rPr>
        <w:t>5 合同工期和要求</w:t>
      </w:r>
    </w:p>
    <w:p w14:paraId="4EDE155C">
      <w:pPr>
        <w:spacing w:before="156" w:beforeLines="50" w:line="360" w:lineRule="auto"/>
        <w:ind w:left="239" w:leftChars="114" w:firstLine="240" w:firstLineChars="100"/>
        <w:rPr>
          <w:rFonts w:hint="eastAsia" w:ascii="仿宋" w:hAnsi="仿宋" w:eastAsia="仿宋" w:cs="Times New Roman"/>
          <w:b/>
          <w:sz w:val="24"/>
        </w:rPr>
      </w:pPr>
      <w:r>
        <w:rPr>
          <w:rFonts w:hint="eastAsia" w:ascii="仿宋" w:hAnsi="仿宋" w:eastAsia="仿宋" w:cs="Times New Roman"/>
          <w:sz w:val="24"/>
        </w:rPr>
        <w:t>5.1根据甲方的总体施工计划要求，乙方完成分包专项工程的合同工期预计为</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sz w:val="24"/>
        </w:rPr>
        <w:t>个月，</w:t>
      </w:r>
      <w:r>
        <w:rPr>
          <w:rFonts w:hint="eastAsia" w:ascii="仿宋" w:hAnsi="仿宋" w:eastAsia="仿宋" w:cs="Times New Roman"/>
          <w:color w:val="000000"/>
          <w:sz w:val="24"/>
        </w:rPr>
        <w:t>开工日期以甲方通知乙方进场日期为准,</w:t>
      </w:r>
      <w:r>
        <w:rPr>
          <w:rFonts w:hint="eastAsia" w:ascii="仿宋" w:hAnsi="仿宋" w:eastAsia="仿宋" w:cs="Times New Roman"/>
          <w:sz w:val="24"/>
        </w:rPr>
        <w:t>完工日期以乙方完成甲方指定的工作为止。</w:t>
      </w:r>
    </w:p>
    <w:p w14:paraId="41735A5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sz w:val="24"/>
        </w:rPr>
        <w:t>5.2</w:t>
      </w:r>
      <w:r>
        <w:rPr>
          <w:rFonts w:hint="eastAsia" w:ascii="仿宋" w:hAnsi="仿宋" w:eastAsia="仿宋" w:cs="Times New Roman"/>
          <w:color w:val="000000"/>
          <w:sz w:val="24"/>
        </w:rPr>
        <w:t>甲方有权随时了解乙方的工程进展，乙方应在甲方管理人员指导下，按甲方施工进度计划，提前做好各项准备工作，不得延误下一道工序施工，保质保量完成本工程项目。</w:t>
      </w:r>
    </w:p>
    <w:p w14:paraId="21DF2EF9">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5.3施工过程中乙方应根据甲方指派的施工任务及甲方的进度计划合理安排人员、机械设备、周转材等的进场，避免因拖延工期带来的成本增加。</w:t>
      </w:r>
      <w:r>
        <w:rPr>
          <w:rFonts w:hint="eastAsia" w:ascii="仿宋" w:hAnsi="仿宋" w:eastAsia="仿宋" w:cs="Times New Roman"/>
          <w:color w:val="000000"/>
          <w:sz w:val="24"/>
          <w:lang w:val="en-US" w:eastAsia="zh-CN"/>
        </w:rPr>
        <w:t>因乙方的原因导致</w:t>
      </w:r>
      <w:r>
        <w:rPr>
          <w:rFonts w:hint="eastAsia" w:ascii="仿宋" w:hAnsi="仿宋" w:eastAsia="仿宋" w:cs="Times New Roman"/>
          <w:color w:val="000000"/>
          <w:sz w:val="24"/>
        </w:rPr>
        <w:t>工期</w:t>
      </w:r>
      <w:r>
        <w:rPr>
          <w:rFonts w:hint="eastAsia" w:ascii="仿宋" w:hAnsi="仿宋" w:eastAsia="仿宋" w:cs="Times New Roman"/>
          <w:color w:val="000000"/>
          <w:sz w:val="24"/>
          <w:lang w:val="en-US" w:eastAsia="zh-CN"/>
        </w:rPr>
        <w:t>延误造成成本增加或其他损失由乙方承担，甲方不承担相关责任</w:t>
      </w:r>
      <w:r>
        <w:rPr>
          <w:rFonts w:hint="eastAsia" w:ascii="仿宋" w:hAnsi="仿宋" w:eastAsia="仿宋" w:cs="Times New Roman"/>
          <w:color w:val="000000"/>
          <w:sz w:val="24"/>
        </w:rPr>
        <w:t>。</w:t>
      </w:r>
    </w:p>
    <w:p w14:paraId="7793086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sz w:val="24"/>
        </w:rPr>
        <w:t>5.4如因乙方原因未能按时开工或延误工期，由此引起的损失由乙方承担，必要时，甲方有权单方面终止合同。因发包人原因或不可抗力造成的工期延误，可按照发包人同意的相应工期予以顺延。</w:t>
      </w:r>
    </w:p>
    <w:p w14:paraId="581EC3F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5.5 缺陷责任期为业主签发交工验收证书之日起</w:t>
      </w:r>
      <w:r>
        <w:rPr>
          <w:rFonts w:hint="eastAsia" w:ascii="仿宋" w:hAnsi="仿宋" w:eastAsia="仿宋" w:cs="Times New Roman"/>
          <w:color w:val="000000"/>
          <w:sz w:val="24"/>
        </w:rPr>
        <w:t>计2年。</w:t>
      </w:r>
      <w:r>
        <w:rPr>
          <w:rFonts w:hint="eastAsia" w:ascii="仿宋" w:hAnsi="仿宋" w:eastAsia="仿宋" w:cs="Times New Roman"/>
          <w:sz w:val="24"/>
        </w:rPr>
        <w:t>在缺陷责任期内的缺陷维修，如属于乙方责任的，乙方在接到甲方通知3天内派人在指定时间内自费更换或修补，否则，甲方将另行组织队伍进行更换或修补，所发生的费用将在乙方的保留金或未收款项中扣除，同时不</w:t>
      </w:r>
      <w:r>
        <w:rPr>
          <w:rFonts w:hint="eastAsia" w:ascii="仿宋" w:hAnsi="仿宋" w:eastAsia="仿宋" w:cs="Times New Roman"/>
          <w:sz w:val="24"/>
          <w:lang w:val="en-US" w:eastAsia="zh-CN"/>
        </w:rPr>
        <w:t>免</w:t>
      </w:r>
      <w:r>
        <w:rPr>
          <w:rFonts w:hint="eastAsia" w:ascii="仿宋" w:hAnsi="仿宋" w:eastAsia="仿宋" w:cs="Times New Roman"/>
          <w:sz w:val="24"/>
        </w:rPr>
        <w:t>除乙方对完工项目质量应负的全部责任和义务。</w:t>
      </w:r>
    </w:p>
    <w:p w14:paraId="44064BF9">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6工程质量及质量保修</w:t>
      </w:r>
    </w:p>
    <w:p w14:paraId="45DD87B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6.1乙方在分项工程开工之前，甲方须向乙方提交包括但不限于施工方案、图纸、测量数据、技术交底等相关技术文件，乙方按技术文件要求投入相应的人员、材料、设备等资源，按要求组织施工。该技术文件作为甲方对乙方过程管理及考核的依据。</w:t>
      </w:r>
    </w:p>
    <w:p w14:paraId="6093CAE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6.2乙方对所承担施工项目的具体实施负责，严格按甲方的施工组织设计、施工图纸和有关技术规范以及甲方依据合同发出的指令要求进行施工。乙方每道工序完成后必须进行自检，待自检完毕通知甲方技术人员、质检工程师检查。隐蔽工程须按规定时间提前通知甲方质检工程师和相关人员，待验收合格现场签认后，方准进入下一道工序的施工。</w:t>
      </w:r>
    </w:p>
    <w:p w14:paraId="56A9E6DD">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6.3乙方应接受甲方派出人员的检查，并为检查提供便利条件。乙方承担因自身原因导致返工、修改的费用，对于工程施工过程中未能达到质量要求的工序，甲方有权让乙方返工直到满足技术规范要求，返工人工费及材料机械费及重复检测费用由乙方负责。</w:t>
      </w:r>
    </w:p>
    <w:p w14:paraId="3A5370F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6.4乙方通过隐瞒、疏通等手段经甲方验收合格的工程，后经上级或权威部门检查验收判定为不合格的，仍视为不合格工程，乙方须无条件进行返工，直至合格为止，发生的费用由乙方负责，并赔偿甲方因此造成的损失。</w:t>
      </w:r>
    </w:p>
    <w:p w14:paraId="53453F1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6.5乙方承建的工程质量要求各单位、分部、分项工程合格率为100%，且重要分部分项工程评分达到或超过90分。乙方承建的工程若出现缺陷修复，缺陷责任由乙方承担。</w:t>
      </w:r>
    </w:p>
    <w:p w14:paraId="70A6418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6.6乙方的各项试验和检测内容应到甲方的试验室或甲方认可的有资质的试验检测机构完成，其费用由</w:t>
      </w:r>
      <w:r>
        <w:rPr>
          <w:rFonts w:hint="eastAsia" w:ascii="仿宋" w:hAnsi="仿宋" w:eastAsia="仿宋" w:cs="Times New Roman"/>
          <w:sz w:val="24"/>
          <w:u w:val="single"/>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rPr>
        <w:t>方承担。试验检测的频率、方法、操作规程等，应严格按照相关的技术标准执行。</w:t>
      </w:r>
    </w:p>
    <w:p w14:paraId="09F3DAB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6.7甲方按照现行的验收办法、评定标准、施工技术规范及施工图等报请发包人组织验收。分包专项工程涉及的竣工资料</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（a.由甲方统一编制，乙方承担竣工资料编制费用；b.由乙方编制，乙方承担竣工资料编制费用）。</w:t>
      </w:r>
    </w:p>
    <w:p w14:paraId="15F72BA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6.8乙方分包专项工程的质量保修期等同于发包人要求甲方的保修期，保修期间发生在乙方工作范围内的保修费用由乙方承担。</w:t>
      </w:r>
    </w:p>
    <w:p w14:paraId="4F4A52E7">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7 工程变更</w:t>
      </w:r>
    </w:p>
    <w:p w14:paraId="0D8D9787">
      <w:pPr>
        <w:adjustRightInd w:val="0"/>
        <w:snapToGrid w:val="0"/>
        <w:spacing w:line="360" w:lineRule="auto"/>
        <w:ind w:firstLine="480" w:firstLineChars="200"/>
        <w:rPr>
          <w:rFonts w:hint="eastAsia" w:ascii="仿宋" w:hAnsi="仿宋" w:eastAsia="仿宋" w:cs="Times New Roman"/>
          <w:color w:val="FF0000"/>
          <w:sz w:val="24"/>
        </w:rPr>
      </w:pPr>
      <w:r>
        <w:rPr>
          <w:rFonts w:hint="eastAsia" w:ascii="仿宋" w:hAnsi="仿宋" w:eastAsia="仿宋" w:cs="Times New Roman"/>
          <w:sz w:val="24"/>
        </w:rPr>
        <w:t>7.1甲方提出设计变更或其它施工方案，乙方应积极配合，并按甲方的要求施工。工程变更的综合单价按照本合同第3.1.4条或3.1.5条执行。变更数量以经甲乙双方确认的实际施工数量为准。</w:t>
      </w:r>
    </w:p>
    <w:p w14:paraId="53E9E96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7.2乙方不得擅自改变原设计，否则甲方对乙方完成的该项变更工程不予认可、不予计量支付，并有权要求乙方按照原设计返工，由此造成的损失由乙方承担。 </w:t>
      </w:r>
    </w:p>
    <w:p w14:paraId="519156C8">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8 工程款项的结算与支付</w:t>
      </w:r>
    </w:p>
    <w:p w14:paraId="75D0FD9A">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8.1计量支付和结算原则</w:t>
      </w:r>
    </w:p>
    <w:p w14:paraId="7AAF20BC">
      <w:pPr>
        <w:spacing w:line="400" w:lineRule="exact"/>
        <w:ind w:firstLine="480" w:firstLineChars="200"/>
        <w:rPr>
          <w:rFonts w:hint="default" w:ascii="仿宋" w:hAnsi="仿宋" w:eastAsia="仿宋" w:cs="Times New Roman"/>
          <w:color w:val="auto"/>
          <w:sz w:val="24"/>
          <w:highlight w:val="none"/>
          <w:u w:val="single"/>
          <w:lang w:val="en-US" w:eastAsia="zh-CN"/>
        </w:rPr>
      </w:pPr>
      <w:r>
        <w:rPr>
          <w:rFonts w:hint="eastAsia" w:ascii="仿宋" w:hAnsi="仿宋" w:eastAsia="仿宋" w:cs="Times New Roman"/>
          <w:sz w:val="24"/>
          <w:highlight w:val="none"/>
        </w:rPr>
        <w:t>8.1.1</w:t>
      </w:r>
      <w:r>
        <w:rPr>
          <w:rFonts w:hint="eastAsia" w:ascii="仿宋" w:hAnsi="仿宋" w:eastAsia="仿宋" w:cs="Times New Roman"/>
          <w:color w:val="auto"/>
          <w:sz w:val="24"/>
          <w:highlight w:val="none"/>
          <w:lang w:val="en-US" w:eastAsia="zh-CN"/>
        </w:rPr>
        <w:t>预付款支付：</w:t>
      </w:r>
      <w:r>
        <w:rPr>
          <w:rFonts w:hint="eastAsia" w:ascii="仿宋" w:hAnsi="仿宋" w:eastAsia="仿宋" w:cs="Times New Roman"/>
          <w:sz w:val="24"/>
          <w:u w:val="single"/>
        </w:rPr>
        <w:t>合同签订后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日内支付合同总价的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%给乙方作为工程预付款，预付款的扣回时间：乙方完成的工程量产值达到合同总价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%开始扣回；扣回方式：在月工程进度款中全额抵扣至预付款全部扣回为止（即施工产值达合同价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%，需将预付款全部扣回）。</w:t>
      </w:r>
    </w:p>
    <w:p w14:paraId="7FA7B0F1">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color w:val="auto"/>
          <w:sz w:val="24"/>
          <w:lang w:val="en-US" w:eastAsia="zh-CN"/>
        </w:rPr>
        <w:t>8.1.2</w:t>
      </w:r>
      <w:r>
        <w:rPr>
          <w:rFonts w:hint="eastAsia" w:ascii="仿宋" w:hAnsi="仿宋" w:eastAsia="仿宋" w:cs="Times New Roman"/>
          <w:b/>
          <w:color w:val="auto"/>
          <w:sz w:val="24"/>
        </w:rPr>
        <w:t>甲方按月或双方根据业主计量情况协商结算周</w:t>
      </w:r>
      <w:r>
        <w:rPr>
          <w:rFonts w:hint="eastAsia" w:ascii="仿宋" w:hAnsi="仿宋" w:eastAsia="仿宋" w:cs="Times New Roman"/>
          <w:b/>
          <w:sz w:val="24"/>
        </w:rPr>
        <w:t>期进行计量</w:t>
      </w:r>
      <w:r>
        <w:rPr>
          <w:rFonts w:hint="eastAsia" w:ascii="仿宋" w:hAnsi="仿宋" w:eastAsia="仿宋" w:cs="Times New Roman"/>
          <w:sz w:val="24"/>
        </w:rPr>
        <w:t>，完成工程数量书面确认，验收合格后2个月内完成合同结算，结算数量按业主批复内乙方实际完成的数量进行确认。</w:t>
      </w:r>
    </w:p>
    <w:p w14:paraId="48AFF95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3</w:t>
      </w:r>
      <w:r>
        <w:rPr>
          <w:rFonts w:hint="eastAsia" w:ascii="仿宋" w:hAnsi="仿宋" w:eastAsia="仿宋" w:cs="Times New Roman"/>
          <w:sz w:val="24"/>
        </w:rPr>
        <w:t>甲方只对甲乙双方确认的乙方实际完成的经甲方验收合格的工作量进行计量支付，甲方无义务向乙方垫付或预付双方已确认结算工程量之外的工程款。</w:t>
      </w:r>
    </w:p>
    <w:p w14:paraId="582B7C3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4</w:t>
      </w:r>
      <w:r>
        <w:rPr>
          <w:rFonts w:hint="eastAsia" w:ascii="仿宋" w:hAnsi="仿宋" w:eastAsia="仿宋" w:cs="Times New Roman"/>
          <w:sz w:val="24"/>
        </w:rPr>
        <w:t>甲方对乙方未达到本合同要求的质量标准的作业量不予计量，乙方应对未达到质量要求的作业项目进行返工，直到质量达到要求后方予以计量，返工费用由乙方承担。</w:t>
      </w:r>
    </w:p>
    <w:p w14:paraId="5C5D190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5</w:t>
      </w:r>
      <w:r>
        <w:rPr>
          <w:rFonts w:hint="eastAsia" w:ascii="仿宋" w:hAnsi="仿宋" w:eastAsia="仿宋" w:cs="Times New Roman"/>
          <w:sz w:val="24"/>
        </w:rPr>
        <w:t>本合同涉及的所有期中计量支付、完工结算支付均由甲方支付到乙方在本合同约定的银行账户，无特殊情况下，甲方不接受乙方提供的任何第三方银行账户或委托支付。</w:t>
      </w:r>
    </w:p>
    <w:p w14:paraId="268A830B">
      <w:pPr>
        <w:spacing w:line="400" w:lineRule="exact"/>
        <w:ind w:firstLine="480" w:firstLineChars="200"/>
        <w:rPr>
          <w:rFonts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6</w:t>
      </w:r>
      <w:r>
        <w:rPr>
          <w:rFonts w:hint="eastAsia" w:ascii="仿宋" w:hAnsi="仿宋" w:eastAsia="仿宋" w:cs="Times New Roman"/>
          <w:sz w:val="24"/>
        </w:rPr>
        <w:t>支付方式</w:t>
      </w:r>
    </w:p>
    <w:p w14:paraId="22976519">
      <w:pPr>
        <w:spacing w:line="400" w:lineRule="exact"/>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乙方同意甲方根据管理需要选择银行转账、</w:t>
      </w:r>
      <w:r>
        <w:rPr>
          <w:rFonts w:hint="eastAsia" w:ascii="仿宋" w:hAnsi="仿宋" w:eastAsia="仿宋" w:cs="Times New Roman"/>
          <w:strike w:val="0"/>
          <w:sz w:val="24"/>
          <w:highlight w:val="none"/>
        </w:rPr>
        <w:t>支票或供应链金融</w:t>
      </w:r>
      <w:r>
        <w:rPr>
          <w:rFonts w:hint="eastAsia" w:ascii="仿宋" w:hAnsi="仿宋" w:eastAsia="仿宋" w:cs="Times New Roman"/>
          <w:sz w:val="24"/>
          <w:highlight w:val="none"/>
        </w:rPr>
        <w:t>等方式支付计量款项。</w:t>
      </w:r>
    </w:p>
    <w:p w14:paraId="2EE0D81F">
      <w:pPr>
        <w:spacing w:line="400" w:lineRule="exact"/>
        <w:ind w:firstLine="480" w:firstLineChars="200"/>
        <w:rPr>
          <w:rFonts w:hint="eastAsia" w:ascii="仿宋" w:hAnsi="仿宋" w:eastAsia="仿宋" w:cs="Times New Roman"/>
          <w:strike/>
          <w:sz w:val="24"/>
        </w:rPr>
      </w:pPr>
      <w:r>
        <w:rPr>
          <w:rFonts w:hint="eastAsia" w:ascii="仿宋" w:hAnsi="仿宋" w:eastAsia="仿宋" w:cs="Times New Roman"/>
          <w:strike w:val="0"/>
          <w:sz w:val="24"/>
          <w:highlight w:val="none"/>
        </w:rPr>
        <w:t>本合同价的</w:t>
      </w:r>
      <w:r>
        <w:rPr>
          <w:rFonts w:hint="eastAsia" w:ascii="仿宋" w:hAnsi="仿宋" w:eastAsia="仿宋" w:cs="Times New Roman"/>
          <w:strike w:val="0"/>
          <w:sz w:val="24"/>
          <w:highlight w:val="none"/>
          <w:u w:val="single"/>
          <w:lang w:val="en-US" w:eastAsia="zh-CN"/>
        </w:rPr>
        <w:t>/</w:t>
      </w:r>
      <w:r>
        <w:rPr>
          <w:rFonts w:hint="eastAsia" w:ascii="仿宋" w:hAnsi="仿宋" w:eastAsia="仿宋" w:cs="Times New Roman"/>
          <w:strike w:val="0"/>
          <w:sz w:val="24"/>
          <w:highlight w:val="none"/>
        </w:rPr>
        <w:t>%款项支付将选择供应链金融支付方式，乙方应根据该支付方式建立有效支付通道（包括但不限于在甲方指定银行开立结算账户、出具供应链金融有关文书等），甲方承担该支付方式产生的利息费用。</w:t>
      </w:r>
    </w:p>
    <w:p w14:paraId="1E7085FA">
      <w:pPr>
        <w:spacing w:line="400" w:lineRule="exact"/>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8.２中期支付</w:t>
      </w:r>
    </w:p>
    <w:p w14:paraId="25B96BE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sz w:val="24"/>
        </w:rPr>
        <w:t>8.2.1合同内工程</w:t>
      </w:r>
      <w:r>
        <w:rPr>
          <w:rFonts w:hint="eastAsia" w:ascii="仿宋" w:hAnsi="仿宋" w:eastAsia="仿宋" w:cs="Times New Roman"/>
          <w:color w:val="auto"/>
          <w:sz w:val="24"/>
        </w:rPr>
        <w:t>：</w:t>
      </w:r>
      <w:r>
        <w:rPr>
          <w:rFonts w:hint="eastAsia" w:ascii="仿宋" w:hAnsi="仿宋" w:eastAsia="仿宋" w:cs="Times New Roman"/>
          <w:sz w:val="24"/>
          <w:u w:val="single"/>
        </w:rPr>
        <w:t>甲方每月</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日前对乙方自上月</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日至本月</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日完成的合格工程量进行中间计量，扣除保留金及其他应扣款后，</w:t>
      </w:r>
      <w:r>
        <w:rPr>
          <w:rFonts w:hint="eastAsia" w:ascii="仿宋" w:hAnsi="仿宋" w:eastAsia="仿宋" w:cs="Times New Roman"/>
          <w:color w:val="000000"/>
          <w:sz w:val="24"/>
          <w:u w:val="single"/>
        </w:rPr>
        <w:t>业主支付对应工程款后，由甲</w:t>
      </w:r>
      <w:r>
        <w:rPr>
          <w:rFonts w:hint="eastAsia" w:ascii="仿宋" w:hAnsi="仿宋" w:eastAsia="仿宋" w:cs="Times New Roman"/>
          <w:sz w:val="24"/>
          <w:u w:val="single"/>
        </w:rPr>
        <w:t>方按双方当期确认（每月）的计量金额</w:t>
      </w:r>
      <w:r>
        <w:rPr>
          <w:rFonts w:hint="eastAsia" w:ascii="仿宋" w:hAnsi="仿宋" w:eastAsia="仿宋" w:cs="Times New Roman"/>
          <w:color w:val="000000"/>
          <w:sz w:val="24"/>
          <w:u w:val="single"/>
        </w:rPr>
        <w:t>进行支付。</w:t>
      </w:r>
    </w:p>
    <w:p w14:paraId="4EEBD19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变更工程：在甲方收到业主单位支付该项变更工程款后，由甲方根据业主支付的比例确定向乙方支付的比例和进度，甲方无义务向乙方垫付或预付变更工程款，乙方不得以任何理由提出追偿。</w:t>
      </w:r>
    </w:p>
    <w:p w14:paraId="5AA90887">
      <w:pPr>
        <w:spacing w:line="400" w:lineRule="exact"/>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8.2.2扣留保留金的比例为甲方确认计量总金额的</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%，安全保证金为</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%，暂扣款为</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w:t>
      </w:r>
    </w:p>
    <w:p w14:paraId="5DE3C88D">
      <w:pPr>
        <w:spacing w:line="360" w:lineRule="auto"/>
        <w:ind w:firstLine="480" w:firstLineChars="200"/>
        <w:rPr>
          <w:rFonts w:hint="eastAsia" w:ascii="仿宋" w:hAnsi="仿宋" w:eastAsia="仿宋" w:cs="Times New Roman"/>
          <w:strike/>
          <w:sz w:val="24"/>
          <w:highlight w:val="yellow"/>
        </w:rPr>
      </w:pPr>
      <w:r>
        <w:rPr>
          <w:rFonts w:hint="eastAsia" w:ascii="仿宋" w:hAnsi="仿宋" w:eastAsia="仿宋" w:cs="Times New Roman"/>
          <w:strike w:val="0"/>
          <w:sz w:val="24"/>
          <w:highlight w:val="none"/>
        </w:rPr>
        <w:t>8.2.3农民工工资支付保证金</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%比例在计量支付时提取，在乙方劳务作业全部完成并出具无拖欠农民工工资承诺后退还。</w:t>
      </w:r>
    </w:p>
    <w:p w14:paraId="1FE57202">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8.3 完工结算和支付</w:t>
      </w:r>
    </w:p>
    <w:p w14:paraId="057062D0">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8.3.1 乙方负责的工程量完工</w:t>
      </w:r>
      <w:r>
        <w:rPr>
          <w:rFonts w:hint="eastAsia" w:ascii="仿宋" w:hAnsi="仿宋" w:eastAsia="仿宋" w:cs="Times New Roman"/>
          <w:sz w:val="24"/>
          <w:lang w:val="en-US" w:eastAsia="zh-CN"/>
        </w:rPr>
        <w:t xml:space="preserve">  </w:t>
      </w:r>
      <w:r>
        <w:rPr>
          <w:rFonts w:hint="eastAsia" w:ascii="仿宋" w:hAnsi="仿宋" w:eastAsia="仿宋" w:cs="Times New Roman"/>
          <w:sz w:val="24"/>
        </w:rPr>
        <w:t>个月内，甲乙双方按本合同约定的单价和甲乙双方确认的实际完成的工程数量进行完工结算，并签订结算协议。项目合同审计完成前，累计付款不应超过结算金额的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w:t>
      </w:r>
    </w:p>
    <w:p w14:paraId="08A666CE">
      <w:pPr>
        <w:adjustRightInd w:val="0"/>
        <w:snapToGrid w:val="0"/>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rPr>
        <w:t>8</w:t>
      </w:r>
      <w:r>
        <w:rPr>
          <w:rFonts w:hint="eastAsia" w:ascii="仿宋" w:hAnsi="仿宋" w:eastAsia="仿宋" w:cs="Times New Roman"/>
          <w:sz w:val="24"/>
          <w:highlight w:val="none"/>
        </w:rPr>
        <w:t>.3.2 在甲方收到业主相应工程款的前提下，在双方签订的结算协议经合同</w:t>
      </w:r>
      <w:r>
        <w:rPr>
          <w:rFonts w:hint="eastAsia" w:ascii="仿宋" w:hAnsi="仿宋" w:eastAsia="仿宋" w:cs="Times New Roman"/>
          <w:sz w:val="24"/>
          <w:highlight w:val="none"/>
          <w:lang w:val="en-US" w:eastAsia="zh-CN"/>
        </w:rPr>
        <w:t>审核</w:t>
      </w:r>
      <w:r>
        <w:rPr>
          <w:rFonts w:hint="eastAsia" w:ascii="仿宋" w:hAnsi="仿宋" w:eastAsia="仿宋" w:cs="Times New Roman"/>
          <w:sz w:val="24"/>
          <w:highlight w:val="none"/>
        </w:rPr>
        <w:t>通过之日起的28天内，甲方向乙方支付除保留金和其他应扣款以外的剩余应付款项。</w:t>
      </w:r>
    </w:p>
    <w:p w14:paraId="5DC52CF3">
      <w:pPr>
        <w:adjustRightInd w:val="0"/>
        <w:snapToGrid w:val="0"/>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8.3.3保留金、安全保证金、暂扣款的退还：保留金在竣工验收合格，</w:t>
      </w:r>
      <w:r>
        <w:rPr>
          <w:rFonts w:hint="eastAsia" w:ascii="仿宋" w:hAnsi="仿宋" w:eastAsia="仿宋" w:cs="Times New Roman"/>
          <w:strike w:val="0"/>
          <w:sz w:val="24"/>
          <w:highlight w:val="none"/>
          <w:lang w:val="en-US" w:eastAsia="zh-CN"/>
        </w:rPr>
        <w:t>并</w:t>
      </w:r>
      <w:r>
        <w:rPr>
          <w:rFonts w:hint="eastAsia" w:ascii="仿宋" w:hAnsi="仿宋" w:eastAsia="仿宋" w:cs="Times New Roman"/>
          <w:strike w:val="0"/>
          <w:sz w:val="24"/>
          <w:highlight w:val="none"/>
        </w:rPr>
        <w:t>在业主返还质量保证金后1个月内付清；若有部分项目因</w:t>
      </w:r>
      <w:r>
        <w:rPr>
          <w:rFonts w:hint="eastAsia" w:ascii="仿宋" w:hAnsi="仿宋" w:eastAsia="仿宋" w:cs="Times New Roman"/>
          <w:strike w:val="0"/>
          <w:sz w:val="24"/>
          <w:highlight w:val="none"/>
          <w:lang w:val="en-US" w:eastAsia="zh-CN"/>
        </w:rPr>
        <w:t>结算审核</w:t>
      </w:r>
      <w:r>
        <w:rPr>
          <w:rFonts w:hint="eastAsia" w:ascii="仿宋" w:hAnsi="仿宋" w:eastAsia="仿宋" w:cs="Times New Roman"/>
          <w:strike w:val="0"/>
          <w:sz w:val="24"/>
          <w:highlight w:val="none"/>
        </w:rPr>
        <w:t>造成扣款的或出现缺陷责任需对工程进行修复所发生的费用，甲方将在乙方的保留金中扣除，如保留金不足以扣除相应的款项，甲方可对乙方进行费用追索。若施工过程中没有发生安全事故的，安全保证金在竣工验收合格后退还。暂扣款在项目结算完成后半年内支付。保留金、安全保证金、暂扣款的返还不计任何利息。</w:t>
      </w:r>
    </w:p>
    <w:p w14:paraId="39615AEC">
      <w:pPr>
        <w:adjustRightInd w:val="0"/>
        <w:snapToGrid w:val="0"/>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8.3.4最后结算支付以甲</w:t>
      </w:r>
      <w:r>
        <w:rPr>
          <w:rFonts w:hint="eastAsia" w:ascii="仿宋" w:hAnsi="仿宋" w:eastAsia="仿宋" w:cs="Times New Roman"/>
          <w:sz w:val="24"/>
          <w:highlight w:val="none"/>
          <w:shd w:val="clear" w:color="auto" w:fill="auto"/>
        </w:rPr>
        <w:t>方</w:t>
      </w:r>
      <w:r>
        <w:rPr>
          <w:rFonts w:hint="eastAsia" w:ascii="仿宋" w:hAnsi="仿宋" w:eastAsia="仿宋" w:cs="Times New Roman"/>
          <w:sz w:val="24"/>
          <w:highlight w:val="none"/>
          <w:shd w:val="clear" w:color="auto" w:fill="auto"/>
          <w:lang w:val="en-US" w:eastAsia="zh-CN"/>
        </w:rPr>
        <w:t>审定</w:t>
      </w:r>
      <w:r>
        <w:rPr>
          <w:rFonts w:hint="eastAsia" w:ascii="仿宋" w:hAnsi="仿宋" w:eastAsia="仿宋" w:cs="Times New Roman"/>
          <w:sz w:val="24"/>
          <w:highlight w:val="none"/>
        </w:rPr>
        <w:t>为准。</w:t>
      </w:r>
    </w:p>
    <w:p w14:paraId="07EA04C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8.3.5乙方与他人的经济、法律、劳资等纠纷申诉牵连到甲方的，如果乙方没有及时妥善解决，甲方有权从乙方保留金和暂扣款中扣除相应金额给申诉方，并</w:t>
      </w:r>
      <w:r>
        <w:rPr>
          <w:rFonts w:hint="eastAsia" w:ascii="仿宋" w:hAnsi="仿宋" w:eastAsia="仿宋" w:cs="Times New Roman"/>
          <w:sz w:val="24"/>
          <w:lang w:val="en-US" w:eastAsia="zh-CN"/>
        </w:rPr>
        <w:t>有权要求</w:t>
      </w:r>
      <w:r>
        <w:rPr>
          <w:rFonts w:hint="eastAsia" w:ascii="仿宋" w:hAnsi="仿宋" w:eastAsia="仿宋" w:cs="Times New Roman"/>
          <w:sz w:val="24"/>
        </w:rPr>
        <w:t>乙方</w:t>
      </w:r>
      <w:r>
        <w:rPr>
          <w:rFonts w:hint="eastAsia" w:ascii="仿宋" w:hAnsi="仿宋" w:eastAsia="仿宋" w:cs="Times New Roman"/>
          <w:sz w:val="24"/>
          <w:lang w:val="en-US" w:eastAsia="zh-CN"/>
        </w:rPr>
        <w:t>支付</w:t>
      </w:r>
      <w:r>
        <w:rPr>
          <w:rFonts w:hint="eastAsia" w:ascii="仿宋" w:hAnsi="仿宋" w:eastAsia="仿宋" w:cs="Times New Roman"/>
          <w:sz w:val="24"/>
        </w:rPr>
        <w:t>相同金额的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67E7CF22">
      <w:pPr>
        <w:widowControl w:val="0"/>
        <w:spacing w:after="120" w:line="360" w:lineRule="auto"/>
        <w:ind w:firstLine="480" w:firstLineChars="200"/>
        <w:jc w:val="both"/>
        <w:rPr>
          <w:rFonts w:hint="eastAsia" w:ascii="Times New Roman" w:hAnsi="Times New Roman" w:eastAsia="仿宋" w:cs="Times New Roman"/>
          <w:kern w:val="2"/>
          <w:sz w:val="21"/>
          <w:szCs w:val="24"/>
          <w:lang w:val="en-US" w:eastAsia="zh-CN" w:bidi="ar-SA"/>
        </w:rPr>
      </w:pPr>
      <w:r>
        <w:rPr>
          <w:rFonts w:hint="eastAsia" w:ascii="仿宋" w:hAnsi="仿宋" w:eastAsia="仿宋" w:cs="Times New Roman"/>
          <w:kern w:val="2"/>
          <w:sz w:val="24"/>
          <w:szCs w:val="24"/>
          <w:lang w:val="en-US" w:eastAsia="zh-CN" w:bidi="ar-SA"/>
        </w:rPr>
        <w:t xml:space="preserve">8.3.6 </w:t>
      </w:r>
      <w:r>
        <w:rPr>
          <w:rFonts w:hint="eastAsia" w:ascii="仿宋" w:hAnsi="仿宋" w:eastAsia="仿宋" w:cs="Times New Roman"/>
          <w:color w:val="000000"/>
          <w:kern w:val="2"/>
          <w:sz w:val="24"/>
          <w:szCs w:val="24"/>
          <w:lang w:val="en-US" w:eastAsia="zh-CN" w:bidi="ar-SA"/>
        </w:rPr>
        <w:t>乙方因本合同产生的包括但不限于给甲方造成的损失、违约金、处罚款等款项，甲方有权在应付款项中优先扣减，仍不能弥补甲方损失的，甲方有权向乙方继续进行追偿，</w:t>
      </w:r>
      <w:r>
        <w:rPr>
          <w:rFonts w:hint="eastAsia" w:ascii="仿宋" w:hAnsi="仿宋" w:eastAsia="仿宋" w:cs="Times New Roman"/>
          <w:color w:val="000000"/>
          <w:kern w:val="2"/>
          <w:sz w:val="24"/>
          <w:szCs w:val="24"/>
          <w:highlight w:val="none"/>
          <w:lang w:val="en-US" w:eastAsia="zh-CN" w:bidi="ar-SA"/>
        </w:rPr>
        <w:t>非乙方原因，不适用此条款。</w:t>
      </w:r>
    </w:p>
    <w:p w14:paraId="008E6D7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8.4跨区域涉税事项报告表</w:t>
      </w:r>
    </w:p>
    <w:p w14:paraId="5EC5BBE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乙方在本合同签订后一个月内，应根据合同提供该项目的跨区域涉税事项报告表，以确保该项目能在当地税务机关申报缴纳税费。</w:t>
      </w:r>
    </w:p>
    <w:p w14:paraId="3ECE06B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8.5发票的提供</w:t>
      </w:r>
    </w:p>
    <w:p w14:paraId="1819F99A">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8.5.1乙方应在每期结算确认后，在甲方资金支付前，根据合同内容和结算书内容向甲方出具相应增值税发票。以上条件不满足时，乙方不得向甲方申请支付款项，甲方有权停止支付且由乙方自身承担资金风险。</w:t>
      </w:r>
    </w:p>
    <w:p w14:paraId="202ED02B">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8.5.2乙方出具发票需同时满足以下原则：</w:t>
      </w:r>
    </w:p>
    <w:p w14:paraId="737CF335">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8.5.2.1发票金额</w:t>
      </w:r>
    </w:p>
    <w:p w14:paraId="3B7BE049">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乙方向甲方开具发票的金额需严格依据“累计确认结算量与资金支付量孰高原则”。</w:t>
      </w:r>
    </w:p>
    <w:p w14:paraId="3B9843B8">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8.5.2.2票面信息</w:t>
      </w:r>
    </w:p>
    <w:p w14:paraId="7F5C2A0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07D80CE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8.6发票提供的责任</w:t>
      </w:r>
    </w:p>
    <w:p w14:paraId="1D80EBC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导致甲方</w:t>
      </w:r>
      <w:r>
        <w:rPr>
          <w:rFonts w:hint="eastAsia" w:ascii="仿宋" w:hAnsi="仿宋" w:eastAsia="仿宋" w:cs="Times New Roman"/>
          <w:sz w:val="24"/>
          <w:lang w:val="en-US" w:eastAsia="zh-CN"/>
        </w:rPr>
        <w:t>利益受损</w:t>
      </w:r>
      <w:r>
        <w:rPr>
          <w:rFonts w:hint="eastAsia" w:ascii="仿宋" w:hAnsi="仿宋" w:eastAsia="仿宋" w:cs="Times New Roman"/>
          <w:sz w:val="24"/>
        </w:rPr>
        <w:t>的，全部损失由乙方承担。</w:t>
      </w:r>
    </w:p>
    <w:p w14:paraId="1E5CF3A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lang w:val="en-US" w:eastAsia="zh-CN"/>
        </w:rPr>
        <w:t>赔偿</w:t>
      </w:r>
      <w:r>
        <w:rPr>
          <w:rFonts w:hint="eastAsia" w:ascii="仿宋" w:hAnsi="仿宋" w:eastAsia="仿宋" w:cs="Times New Roman"/>
          <w:sz w:val="24"/>
        </w:rPr>
        <w:t>相应进项税额3倍的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60F90A35">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9 材料物资和机械设备</w:t>
      </w:r>
    </w:p>
    <w:p w14:paraId="07B30A0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9.1材料</w:t>
      </w:r>
    </w:p>
    <w:p w14:paraId="7CEA1C5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9.1.1发包人和甲方统一采购供应的材料名称、单价及允许损耗系数等见《</w:t>
      </w:r>
      <w:r>
        <w:rPr>
          <w:rFonts w:hint="eastAsia" w:ascii="仿宋" w:hAnsi="仿宋" w:eastAsia="仿宋" w:cs="Times New Roman"/>
          <w:sz w:val="24"/>
          <w:lang w:val="en-US" w:eastAsia="zh-CN"/>
        </w:rPr>
        <w:t>转</w:t>
      </w:r>
      <w:r>
        <w:rPr>
          <w:rFonts w:hint="eastAsia" w:ascii="仿宋" w:hAnsi="仿宋" w:eastAsia="仿宋" w:cs="Times New Roman"/>
          <w:sz w:val="24"/>
        </w:rPr>
        <w:t>包人供应材料清单》（附表2）。乙方领用的甲供材料，若累计用量在图纸用量加允许损耗用量以内的数量按材料清单单价扣回，超出允许损耗用量的材料款在乙方当月的工程款结算时按上述材料的市场价加</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保管费予以扣回。</w:t>
      </w:r>
    </w:p>
    <w:p w14:paraId="0064393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9.1.2除上述甲方提供的材料物资外，用于乙方施工的其他材料物资由乙方自行采购和提供，并负责其保管、检测、使用、运输等全部费用。</w:t>
      </w:r>
    </w:p>
    <w:p w14:paraId="30EC389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9.2机械设备</w:t>
      </w:r>
    </w:p>
    <w:p w14:paraId="4FA8ED2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9.2.1乙方施工所需机械设备均由乙方自行采购和提供，并符合工程施工和进度的要求。</w:t>
      </w:r>
    </w:p>
    <w:p w14:paraId="203BC967">
      <w:pPr>
        <w:spacing w:before="156" w:beforeLines="50" w:line="360" w:lineRule="auto"/>
        <w:ind w:firstLine="482" w:firstLineChars="200"/>
        <w:jc w:val="left"/>
        <w:rPr>
          <w:rFonts w:hint="eastAsia" w:ascii="仿宋" w:hAnsi="仿宋" w:eastAsia="仿宋" w:cs="Times New Roman"/>
          <w:sz w:val="24"/>
        </w:rPr>
      </w:pPr>
      <w:r>
        <w:rPr>
          <w:rFonts w:hint="eastAsia" w:ascii="仿宋" w:hAnsi="仿宋" w:eastAsia="仿宋" w:cs="Times New Roman"/>
          <w:b/>
          <w:sz w:val="24"/>
        </w:rPr>
        <w:t>10 安全生产管理</w:t>
      </w:r>
    </w:p>
    <w:p w14:paraId="04B177A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 乙方安全生产管理</w:t>
      </w:r>
    </w:p>
    <w:p w14:paraId="571DA88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10.1.1乙方对所承担工程的生产安全负责。包括施工区域、施工便道便桥、办公生活场所中的安全设施设备、施工机电设备、建筑材料、安全标志标牌，施工辅助作业、施工作业，从业人员。</w:t>
      </w:r>
    </w:p>
    <w:p w14:paraId="7376F2E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10.1.2按有关法规和甲方要求建立完善安全生产管理规章、安全生产操作规程，落实安全生产管理责任制，配备专（兼）职安全生产管理人员。</w:t>
      </w:r>
    </w:p>
    <w:p w14:paraId="76265400">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10.1.3工程开工前应确保安全生产条件。检查进场施工机电设备的安全性能，施工现场安全措施，对从业人员实行三级安全教育和安全技术交底。</w:t>
      </w:r>
    </w:p>
    <w:p w14:paraId="60E311C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10.1.4必须按照有关规定为从业人员购买意外伤害保险。</w:t>
      </w:r>
    </w:p>
    <w:p w14:paraId="16EED4A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10.1.5施工过程中必须严格执行有关安全生产法律、法规、规定和行业标准、规程、规章，遵守甲方及其上级单位安全生产管理制度，服从甲方安全生产管理，接受甲方的安全指导和监督检查。</w:t>
      </w:r>
    </w:p>
    <w:p w14:paraId="60D2977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10.1.6施工现场应设立并维护好安全生产警示、标志牌、构造物标示牌、安全生产宣传栏、宣传标语等。</w:t>
      </w:r>
    </w:p>
    <w:p w14:paraId="0515471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10.1.7特种施工机械设备必须按规定进行安检、备案，特种作业人员必须持有效证件上岗。</w:t>
      </w:r>
    </w:p>
    <w:p w14:paraId="2372204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10.1.8施工现场临时用电应按要求进行布设线路、电箱和电气。</w:t>
      </w:r>
    </w:p>
    <w:p w14:paraId="2109A840">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10.1.9按规定为从业人员配发劳保用品。</w:t>
      </w:r>
    </w:p>
    <w:p w14:paraId="1F99ECDC">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10.1.10 乙方与甲方签订《安全生产责任书》，明确双方安全生产管理责任。本合同中未明确事宜，严格按《安全生产责任书》执行。在施工过程中，因乙方原因造成生产安全事故，追究乙方相应责任，并由乙方承担由此引起的一切</w:t>
      </w:r>
      <w:r>
        <w:rPr>
          <w:rFonts w:hint="eastAsia" w:ascii="仿宋" w:hAnsi="仿宋" w:eastAsia="仿宋" w:cs="Times New Roman"/>
          <w:color w:val="000000"/>
          <w:sz w:val="24"/>
          <w:lang w:val="en-US" w:eastAsia="zh-CN"/>
        </w:rPr>
        <w:t>责任</w:t>
      </w:r>
      <w:r>
        <w:rPr>
          <w:rFonts w:hint="eastAsia" w:ascii="仿宋" w:hAnsi="仿宋" w:eastAsia="仿宋" w:cs="Times New Roman"/>
          <w:color w:val="000000"/>
          <w:sz w:val="24"/>
        </w:rPr>
        <w:t>。</w:t>
      </w:r>
    </w:p>
    <w:p w14:paraId="1C58106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10.1.11</w:t>
      </w:r>
      <w:r>
        <w:rPr>
          <w:rFonts w:hint="eastAsia" w:ascii="仿宋" w:hAnsi="仿宋" w:eastAsia="仿宋" w:cs="宋体"/>
          <w:color w:val="000000"/>
          <w:sz w:val="24"/>
        </w:rPr>
        <w:t>承建工程</w:t>
      </w:r>
      <w:r>
        <w:rPr>
          <w:rFonts w:hint="eastAsia" w:ascii="仿宋" w:hAnsi="仿宋" w:eastAsia="仿宋" w:cs="Times New Roman"/>
          <w:color w:val="000000"/>
          <w:sz w:val="24"/>
        </w:rPr>
        <w:t>与地方道路等有交叉、干扰的地段，应合理安排施工组织计划，采取有效措施保证施工安全及交通畅通；与其他在建工程</w:t>
      </w:r>
      <w:r>
        <w:rPr>
          <w:rFonts w:hint="eastAsia" w:ascii="仿宋" w:hAnsi="仿宋" w:eastAsia="仿宋" w:cs="宋体"/>
          <w:color w:val="000000"/>
          <w:sz w:val="24"/>
        </w:rPr>
        <w:t>干</w:t>
      </w:r>
      <w:r>
        <w:rPr>
          <w:rFonts w:hint="eastAsia" w:ascii="仿宋" w:hAnsi="仿宋" w:eastAsia="仿宋" w:cs="Times New Roman"/>
          <w:color w:val="000000"/>
          <w:sz w:val="24"/>
        </w:rPr>
        <w:t>扰地段，应做好与其它施工单位或班组的协调工作。</w:t>
      </w:r>
    </w:p>
    <w:p w14:paraId="770FB03E">
      <w:pPr>
        <w:adjustRightInd w:val="0"/>
        <w:snapToGrid w:val="0"/>
        <w:spacing w:line="360" w:lineRule="auto"/>
        <w:ind w:firstLine="480" w:firstLineChars="200"/>
        <w:rPr>
          <w:rFonts w:hint="eastAsia" w:ascii="仿宋" w:hAnsi="仿宋" w:eastAsia="仿宋" w:cs="宋体"/>
          <w:sz w:val="24"/>
        </w:rPr>
      </w:pPr>
      <w:r>
        <w:rPr>
          <w:rFonts w:hint="eastAsia" w:ascii="仿宋" w:hAnsi="仿宋" w:eastAsia="仿宋" w:cs="Times New Roman"/>
          <w:sz w:val="24"/>
        </w:rPr>
        <w:t xml:space="preserve">10.2 </w:t>
      </w:r>
      <w:r>
        <w:rPr>
          <w:rFonts w:hint="eastAsia" w:ascii="仿宋" w:hAnsi="仿宋" w:eastAsia="仿宋" w:cs="宋体"/>
          <w:sz w:val="24"/>
        </w:rPr>
        <w:t>甲方</w:t>
      </w:r>
      <w:r>
        <w:rPr>
          <w:rFonts w:hint="eastAsia" w:ascii="仿宋" w:hAnsi="仿宋" w:eastAsia="仿宋" w:cs="Times New Roman"/>
          <w:sz w:val="24"/>
        </w:rPr>
        <w:t>安全生产</w:t>
      </w:r>
      <w:r>
        <w:rPr>
          <w:rFonts w:hint="eastAsia" w:ascii="仿宋" w:hAnsi="仿宋" w:eastAsia="仿宋" w:cs="宋体"/>
          <w:sz w:val="24"/>
        </w:rPr>
        <w:t>管理</w:t>
      </w:r>
    </w:p>
    <w:p w14:paraId="032005A1">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10.2.1甲方与乙方界定安全生产管理责任，提出明确安全生产管理要求。</w:t>
      </w:r>
    </w:p>
    <w:p w14:paraId="4714059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10.2.2甲方在开工前组织对乙方安全生产条件检查。组织一级、三级安全教育，进行技术交底。</w:t>
      </w:r>
    </w:p>
    <w:p w14:paraId="471988C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10.2.3施工过程中对乙方安全生产工作落实情况进行巡查、督促，不定期组织安全生产宣传教育。</w:t>
      </w:r>
    </w:p>
    <w:p w14:paraId="0D68552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10.2.4发生生产安全事故或出现安全生产险情时，协助乙方处理。</w:t>
      </w:r>
    </w:p>
    <w:p w14:paraId="45D9353E">
      <w:pPr>
        <w:spacing w:before="156" w:beforeLines="50" w:line="360" w:lineRule="auto"/>
        <w:ind w:firstLine="482" w:firstLineChars="200"/>
        <w:rPr>
          <w:rFonts w:hint="eastAsia" w:ascii="仿宋" w:hAnsi="仿宋" w:eastAsia="仿宋" w:cs="Times New Roman"/>
          <w:sz w:val="24"/>
        </w:rPr>
      </w:pPr>
      <w:r>
        <w:rPr>
          <w:rFonts w:hint="eastAsia" w:ascii="仿宋" w:hAnsi="仿宋" w:eastAsia="仿宋" w:cs="Times New Roman"/>
          <w:b/>
          <w:sz w:val="24"/>
        </w:rPr>
        <w:t>11</w:t>
      </w:r>
      <w:r>
        <w:rPr>
          <w:rFonts w:hint="eastAsia" w:ascii="仿宋" w:hAnsi="仿宋" w:eastAsia="仿宋" w:cs="Times New Roman"/>
          <w:b/>
          <w:sz w:val="24"/>
          <w:lang w:val="en-US" w:eastAsia="zh-CN"/>
        </w:rPr>
        <w:t>人员</w:t>
      </w:r>
      <w:r>
        <w:rPr>
          <w:rFonts w:hint="eastAsia" w:ascii="仿宋" w:hAnsi="仿宋" w:eastAsia="仿宋" w:cs="Times New Roman"/>
          <w:b/>
          <w:sz w:val="24"/>
        </w:rPr>
        <w:t>关系管理</w:t>
      </w:r>
    </w:p>
    <w:p w14:paraId="460AC7C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11.1乙方招用的人员，应当依法签订劳动用工合同，进场施工前，须提交工人花名册、工人用工合同到甲方处备案；进场后，每月向甲方报送更新的工人花名册；中途进场的工人，用工当日乙方需向甲方提交工人的用工合同。乙方不得招用</w:t>
      </w:r>
      <w:r>
        <w:rPr>
          <w:rFonts w:hint="eastAsia" w:ascii="仿宋" w:hAnsi="仿宋" w:eastAsia="仿宋" w:cs="Times New Roman"/>
          <w:sz w:val="24"/>
          <w:lang w:val="en-US" w:eastAsia="zh-CN"/>
        </w:rPr>
        <w:t>达到法定</w:t>
      </w:r>
      <w:r>
        <w:rPr>
          <w:rFonts w:hint="eastAsia" w:ascii="仿宋" w:hAnsi="仿宋" w:eastAsia="仿宋" w:cs="Times New Roman"/>
          <w:sz w:val="24"/>
        </w:rPr>
        <w:t>退休年龄的人员。</w:t>
      </w:r>
    </w:p>
    <w:p w14:paraId="53D0BBD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11.2乙方若未按上述约定进行用工管理，导致乙方工人申请工伤认定、劳动仲裁或提起诉讼而牵连甲方的，每发生一宗乙方</w:t>
      </w:r>
      <w:r>
        <w:rPr>
          <w:rFonts w:hint="eastAsia" w:ascii="仿宋" w:hAnsi="仿宋" w:eastAsia="仿宋" w:cs="Times New Roman"/>
          <w:sz w:val="24"/>
          <w:lang w:val="en-US" w:eastAsia="zh-CN"/>
        </w:rPr>
        <w:t>应向甲方支付违约金</w:t>
      </w:r>
      <w:r>
        <w:rPr>
          <w:rFonts w:hint="eastAsia" w:ascii="仿宋" w:hAnsi="仿宋" w:eastAsia="仿宋" w:cs="Times New Roman"/>
          <w:sz w:val="24"/>
        </w:rPr>
        <w:t>5万元，该费用将从应付给乙方的任何款项内扣除。</w:t>
      </w:r>
    </w:p>
    <w:p w14:paraId="23DA83A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发生劳动争议仲裁或诉讼后，乙方可自行选择与工人和解或应诉；选择应诉的，甲方将按案件标的的1.3倍暂扣乙方的工程款直至案件解决。</w:t>
      </w:r>
    </w:p>
    <w:p w14:paraId="752DA30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11.3乙方招用的人员，其应得工资应通过银行卡转帐或现金发放的方式及时、足额地直接发放给员工本人。严禁发放给其他不具备用工主体资格的组织和个人。甲方付工程款时，乙方须提供上一期农民工工资的付款凭证，否则不予支付工程款。</w:t>
      </w:r>
    </w:p>
    <w:p w14:paraId="4FA2454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11.4乙方招用的人员，在核定的人工费总额内需由甲方统一代为发放的，乙方需出具书面委托，并在每月月底报送员工考勤表及乙方签认的工资发放表到甲方。甲方以工资卡形式发放，费用在月结算计量款中抵扣。</w:t>
      </w:r>
    </w:p>
    <w:p w14:paraId="33EC0780">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11.5乙方不得以任何理由和形式克扣员工工资，更不得发生员工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sz w:val="24"/>
          <w:u w:val="single"/>
          <w:lang w:val="en-US" w:eastAsia="zh-CN"/>
        </w:rPr>
        <w:t xml:space="preserve">  </w:t>
      </w:r>
      <w:bookmarkStart w:id="22" w:name="_GoBack"/>
      <w:bookmarkEnd w:id="22"/>
      <w:r>
        <w:rPr>
          <w:rFonts w:hint="eastAsia" w:ascii="仿宋" w:hAnsi="仿宋" w:eastAsia="仿宋" w:cs="Times New Roman"/>
          <w:sz w:val="24"/>
          <w:u w:val="single"/>
        </w:rPr>
        <w:t xml:space="preserve">    </w:t>
      </w:r>
      <w:r>
        <w:rPr>
          <w:rFonts w:hint="eastAsia" w:ascii="仿宋" w:hAnsi="仿宋" w:eastAsia="仿宋" w:cs="Times New Roman"/>
          <w:sz w:val="24"/>
        </w:rPr>
        <w:t>元，并没收保证金。</w:t>
      </w:r>
    </w:p>
    <w:p w14:paraId="1EF3B80F">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12保险</w:t>
      </w:r>
    </w:p>
    <w:p w14:paraId="361F9D3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乙方必须自费为其在本工程雇用的</w:t>
      </w:r>
      <w:r>
        <w:rPr>
          <w:rFonts w:hint="eastAsia" w:ascii="仿宋" w:hAnsi="仿宋" w:eastAsia="仿宋" w:cs="Times New Roman"/>
          <w:sz w:val="24"/>
          <w:lang w:val="en-US" w:eastAsia="zh-CN"/>
        </w:rPr>
        <w:t>人员</w:t>
      </w:r>
      <w:r>
        <w:rPr>
          <w:rFonts w:hint="eastAsia" w:ascii="仿宋" w:hAnsi="仿宋" w:eastAsia="仿宋" w:cs="Times New Roman"/>
          <w:sz w:val="24"/>
        </w:rPr>
        <w:t>办理意外险、工伤保险及社会劳动保险等。乙方因未办理保险而产生的或不能从保险公司得到的赔偿金额、或赔偿金额不足以抵消损失的，由乙方负责承担，甲方及其所属管理单位将不承担任何赔偿责任。</w:t>
      </w:r>
    </w:p>
    <w:p w14:paraId="16C9C146">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13现场管理</w:t>
      </w:r>
    </w:p>
    <w:p w14:paraId="061086FC">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13.1甲、乙双方人员应严格遵守现场各项管理制度，在甲方现场负责人统一领导下组织施工，合理安排计划进度、材料供应等工作，双方应密切配合，保证施工顺利进行。</w:t>
      </w:r>
    </w:p>
    <w:p w14:paraId="34FF287E">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13.2乙方应对施工人员进行遵纪守法、爱护财物的教育，并指定专人负责现场保卫工作，严禁盗窃现场材料。如乙方人员违反现场管理制度和有不法行为，甲方有权采取必要措施，并由乙方承担相关法律责任和经济损失。</w:t>
      </w:r>
    </w:p>
    <w:p w14:paraId="28B0EBB2">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13.3在施工过程中，如因乙方自身原因导致</w:t>
      </w:r>
      <w:r>
        <w:rPr>
          <w:rFonts w:hint="eastAsia" w:ascii="仿宋" w:hAnsi="仿宋" w:eastAsia="仿宋" w:cs="Times New Roman"/>
          <w:sz w:val="24"/>
          <w:lang w:val="en-US" w:eastAsia="zh-CN"/>
        </w:rPr>
        <w:t>甲方需要向</w:t>
      </w:r>
      <w:r>
        <w:rPr>
          <w:rFonts w:hint="eastAsia" w:ascii="仿宋" w:hAnsi="仿宋" w:eastAsia="仿宋" w:cs="Times New Roman"/>
          <w:sz w:val="24"/>
        </w:rPr>
        <w:t>业主、监理或其他上级主管单位的任何形式的</w:t>
      </w:r>
      <w:r>
        <w:rPr>
          <w:rFonts w:hint="eastAsia" w:ascii="仿宋" w:hAnsi="仿宋" w:eastAsia="仿宋" w:cs="Times New Roman"/>
          <w:sz w:val="24"/>
          <w:lang w:val="en-US" w:eastAsia="zh-CN"/>
        </w:rPr>
        <w:t>责任</w:t>
      </w:r>
      <w:r>
        <w:rPr>
          <w:rFonts w:hint="eastAsia" w:ascii="仿宋" w:hAnsi="仿宋" w:eastAsia="仿宋" w:cs="Times New Roman"/>
          <w:sz w:val="24"/>
        </w:rPr>
        <w:t>，该</w:t>
      </w:r>
      <w:r>
        <w:rPr>
          <w:rFonts w:hint="eastAsia" w:ascii="仿宋" w:hAnsi="仿宋" w:eastAsia="仿宋" w:cs="Times New Roman"/>
          <w:sz w:val="24"/>
          <w:lang w:val="en-US" w:eastAsia="zh-CN"/>
        </w:rPr>
        <w:t>责任</w:t>
      </w:r>
      <w:r>
        <w:rPr>
          <w:rFonts w:hint="eastAsia" w:ascii="仿宋" w:hAnsi="仿宋" w:eastAsia="仿宋" w:cs="Times New Roman"/>
          <w:sz w:val="24"/>
        </w:rPr>
        <w:t>由乙方承担，</w:t>
      </w:r>
      <w:r>
        <w:rPr>
          <w:rFonts w:hint="eastAsia" w:ascii="仿宋" w:hAnsi="仿宋" w:eastAsia="仿宋" w:cs="Times New Roman"/>
          <w:sz w:val="24"/>
          <w:lang w:val="en-US" w:eastAsia="zh-CN"/>
        </w:rPr>
        <w:t>甲方</w:t>
      </w:r>
      <w:r>
        <w:rPr>
          <w:rFonts w:hint="eastAsia" w:ascii="仿宋" w:hAnsi="仿宋" w:eastAsia="仿宋" w:cs="Times New Roman"/>
          <w:sz w:val="24"/>
        </w:rPr>
        <w:t>保留进一步</w:t>
      </w:r>
      <w:r>
        <w:rPr>
          <w:rFonts w:hint="eastAsia" w:ascii="仿宋" w:hAnsi="仿宋" w:eastAsia="仿宋" w:cs="Times New Roman"/>
          <w:sz w:val="24"/>
          <w:lang w:val="en-US" w:eastAsia="zh-CN"/>
        </w:rPr>
        <w:t>追究乙方责任</w:t>
      </w:r>
      <w:r>
        <w:rPr>
          <w:rFonts w:hint="eastAsia" w:ascii="仿宋" w:hAnsi="仿宋" w:eastAsia="仿宋" w:cs="Times New Roman"/>
          <w:sz w:val="24"/>
        </w:rPr>
        <w:t>的权利。如</w:t>
      </w:r>
      <w:r>
        <w:rPr>
          <w:rFonts w:hint="eastAsia" w:ascii="仿宋" w:hAnsi="仿宋" w:eastAsia="仿宋" w:cs="Times New Roman"/>
          <w:sz w:val="24"/>
          <w:lang w:val="en-US" w:eastAsia="zh-CN"/>
        </w:rPr>
        <w:t>造成甲方经济的损失</w:t>
      </w:r>
      <w:r>
        <w:rPr>
          <w:rFonts w:hint="eastAsia" w:ascii="仿宋" w:hAnsi="仿宋" w:eastAsia="仿宋" w:cs="Times New Roman"/>
          <w:sz w:val="24"/>
        </w:rPr>
        <w:t>，将在乙方当期计量或工程结算时</w:t>
      </w:r>
      <w:r>
        <w:rPr>
          <w:rFonts w:hint="eastAsia" w:ascii="仿宋" w:hAnsi="仿宋" w:eastAsia="仿宋" w:cs="Times New Roman"/>
          <w:sz w:val="24"/>
          <w:lang w:val="en-US" w:eastAsia="zh-CN"/>
        </w:rPr>
        <w:t>予以抵扣</w:t>
      </w:r>
      <w:r>
        <w:rPr>
          <w:rFonts w:hint="eastAsia" w:ascii="仿宋" w:hAnsi="仿宋" w:eastAsia="仿宋" w:cs="Times New Roman"/>
          <w:sz w:val="24"/>
        </w:rPr>
        <w:t>。</w:t>
      </w:r>
    </w:p>
    <w:p w14:paraId="377E3FF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13.4乙方人员要保持相对稳定，出入施工现场要配戴工作标志，不允许与施工生产无关人员出入现场和住宿，不得招用“三无”人员从事工程施工作业。</w:t>
      </w:r>
    </w:p>
    <w:p w14:paraId="793CD67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13.5文明施工</w:t>
      </w:r>
    </w:p>
    <w:p w14:paraId="727901C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13.5.1乙方应遵守有关文明施工的规定，注意在施工过程中保护工程所在地的环境。如防治雨水对施工现场所占有的土地、临时用地、路基土石方、取弃土场等的冲刷，造成对河流、水道、灌溉渠、排水系统产生淤积、堵塞，对农田或其他农作物造成污染、淹没；防治施工中燃料、油、焊碴、污水、废料和垃圾等有害物质对池塘、河道、农田等造成污染，防治扬尘、汽油等物质对环境空气的污染；防治噪音对环境的污染，把施工对环境、空气的影响减少到法规允许的范围内。如乙方因自身管理不到位造成的责任事故，由乙方承担责任及相关赔偿费用。因乙方的责任造成环境污染事故或其他环境责任事故，由乙方承担相关责任和经济赔偿。</w:t>
      </w:r>
    </w:p>
    <w:p w14:paraId="32E986EC">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13.5.2 乙方的员工应统一佩带由甲方要求的上岗标志，甲方将定期进行检查。乙方施工场地使用、机械停放、材料和设备布置应服从甲方统一安排，机具、材料堆放整齐。</w:t>
      </w:r>
    </w:p>
    <w:p w14:paraId="7EEB553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13.5.3乙方应保证驻地整洁，现场文明施工，确保施工期间在工程范围内便道、原有道路的交通状况满足甲方的要求。</w:t>
      </w:r>
    </w:p>
    <w:p w14:paraId="0C2B0540">
      <w:pPr>
        <w:spacing w:before="156" w:beforeLines="50" w:line="360" w:lineRule="auto"/>
        <w:ind w:firstLine="482" w:firstLineChars="200"/>
        <w:jc w:val="left"/>
        <w:rPr>
          <w:rFonts w:hint="eastAsia" w:ascii="仿宋" w:hAnsi="仿宋" w:eastAsia="仿宋" w:cs="Times New Roman"/>
          <w:sz w:val="24"/>
        </w:rPr>
      </w:pPr>
      <w:r>
        <w:rPr>
          <w:rFonts w:hint="eastAsia" w:ascii="仿宋" w:hAnsi="仿宋" w:eastAsia="仿宋" w:cs="Times New Roman"/>
          <w:b/>
          <w:sz w:val="24"/>
        </w:rPr>
        <w:t>14合同解除及违约责任</w:t>
      </w:r>
    </w:p>
    <w:p w14:paraId="5F6BA962">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14.1 经甲乙双方协商同意，可以变更或解除合同。</w:t>
      </w:r>
    </w:p>
    <w:p w14:paraId="19854DC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14.2 乙方分包的工程项目，不得再行转包或分包，否则将无条件被认为乙方违约，甲方有权解除合同，且由此引起的一切责任、事故和损失由乙方负责。</w:t>
      </w:r>
    </w:p>
    <w:p w14:paraId="535E2BA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乙方在履行合同过程中出现下列情形之一的，甲方将视为乙方严重违约，有权单方面解除合同，另行安排队伍施工，乙方须无条件退场。同时甲方有权没收乙方的合同履约保证金（如果有），如履约保证金仍不能补偿甲方的损失，甲方有权从乙方的保留金或其他工程款中扣除作冲抵，如仍不能弥补甲方损失的，甲方有权继续向乙方追索。</w:t>
      </w:r>
    </w:p>
    <w:p w14:paraId="69C050BC">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14.3.1乙方未经甲方批准将本合同的任何工作内容另行转包或分包给他人的。</w:t>
      </w:r>
    </w:p>
    <w:p w14:paraId="7E383C8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14.3.2 乙方在施工过程中，不听从甲方指挥或调配、违章作业、或出现安全问题和事故，甲方有权提出警告、责令整改，并视具体情况</w:t>
      </w:r>
      <w:r>
        <w:rPr>
          <w:rFonts w:hint="eastAsia" w:ascii="仿宋" w:hAnsi="仿宋" w:eastAsia="仿宋" w:cs="Times New Roman"/>
          <w:sz w:val="24"/>
          <w:lang w:val="en-US" w:eastAsia="zh-CN"/>
        </w:rPr>
        <w:t>要求甲方支付违约金</w:t>
      </w:r>
      <w:r>
        <w:rPr>
          <w:rFonts w:hint="eastAsia" w:ascii="仿宋" w:hAnsi="仿宋" w:eastAsia="仿宋" w:cs="Times New Roman"/>
          <w:sz w:val="24"/>
        </w:rPr>
        <w:t>，若乙方拒不改正的</w:t>
      </w:r>
      <w:r>
        <w:rPr>
          <w:rFonts w:hint="eastAsia" w:ascii="仿宋" w:hAnsi="仿宋" w:eastAsia="仿宋" w:cs="Times New Roman"/>
          <w:sz w:val="24"/>
          <w:lang w:eastAsia="zh-CN"/>
        </w:rPr>
        <w:t>，</w:t>
      </w:r>
      <w:r>
        <w:rPr>
          <w:rFonts w:hint="eastAsia" w:ascii="仿宋" w:hAnsi="仿宋" w:eastAsia="仿宋" w:cs="Times New Roman"/>
          <w:sz w:val="24"/>
          <w:lang w:val="en-US" w:eastAsia="zh-CN"/>
        </w:rPr>
        <w:t>甲方有权解除合同</w:t>
      </w:r>
      <w:r>
        <w:rPr>
          <w:rFonts w:hint="eastAsia" w:ascii="仿宋" w:hAnsi="仿宋" w:eastAsia="仿宋" w:cs="Times New Roman"/>
          <w:sz w:val="24"/>
        </w:rPr>
        <w:t>。</w:t>
      </w:r>
    </w:p>
    <w:p w14:paraId="0371755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14.3.3 因乙方原因导致甲方不能按合同或业主规定的工期交付使用，从而导致业主对甲方进行有关工期延误的</w:t>
      </w:r>
      <w:r>
        <w:rPr>
          <w:rFonts w:hint="eastAsia" w:ascii="仿宋" w:hAnsi="仿宋" w:eastAsia="仿宋" w:cs="Times New Roman"/>
          <w:sz w:val="24"/>
          <w:lang w:val="en-US" w:eastAsia="zh-CN"/>
        </w:rPr>
        <w:t>索赔</w:t>
      </w:r>
      <w:r>
        <w:rPr>
          <w:rFonts w:hint="eastAsia" w:ascii="仿宋" w:hAnsi="仿宋" w:eastAsia="仿宋" w:cs="Times New Roman"/>
          <w:sz w:val="24"/>
        </w:rPr>
        <w:t>，由乙方承担相应的</w:t>
      </w:r>
      <w:r>
        <w:rPr>
          <w:rFonts w:hint="eastAsia" w:ascii="仿宋" w:hAnsi="仿宋" w:eastAsia="仿宋" w:cs="Times New Roman"/>
          <w:sz w:val="24"/>
          <w:lang w:val="en-US" w:eastAsia="zh-CN"/>
        </w:rPr>
        <w:t>赔偿款</w:t>
      </w:r>
      <w:r>
        <w:rPr>
          <w:rFonts w:hint="eastAsia" w:ascii="仿宋" w:hAnsi="仿宋" w:eastAsia="仿宋" w:cs="Times New Roman"/>
          <w:sz w:val="24"/>
        </w:rPr>
        <w:t>，并承担因此而给甲方造成的损失。</w:t>
      </w:r>
    </w:p>
    <w:p w14:paraId="5C381A8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14.3.4 未按合同约定将劳务人员、机具设备组织到位。</w:t>
      </w:r>
    </w:p>
    <w:p w14:paraId="21198B8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14.3.5连续3次完成不了甲方下达的任务，导致甲方不能按时完成生产计划。</w:t>
      </w:r>
    </w:p>
    <w:p w14:paraId="5A16A1A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14.3.6 施工质量经整改仍达不到合同、规范标准要求的或发生重大质量事故。</w:t>
      </w:r>
    </w:p>
    <w:p w14:paraId="472E18C1">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14.3.7 因乙方原因给甲方造成严重信誉损毁的。</w:t>
      </w:r>
    </w:p>
    <w:p w14:paraId="6E95023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14.3.8 出现国家法律、法规规定的其他需要解除合同的情形时。</w:t>
      </w:r>
    </w:p>
    <w:p w14:paraId="794E22D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14.4如乙方单方面提出解除合同，按照合同金额的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%向甲方支付违约金。</w:t>
      </w:r>
    </w:p>
    <w:p w14:paraId="7663EDBE">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15 附则</w:t>
      </w:r>
    </w:p>
    <w:p w14:paraId="116C0EC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15.1甲方不允许项目部人员擅自变更本合同以及以甲方或甲方项目部名义对外借款。甲方与乙方之间签订的任何合同、协议、补充合同、承诺书、确认单等均以甲方委派项目经理签字并加盖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rPr>
        <w:t>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24024D8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15.2合同生效：本合同经甲乙双方签字盖章后，须经驻地监理办审查，报发包人备案之日起生效。</w:t>
      </w:r>
    </w:p>
    <w:p w14:paraId="023FA2C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15.3合同终止日期：在全部工程竣工，办理竣工验收款项结清后失效。</w:t>
      </w:r>
    </w:p>
    <w:p w14:paraId="78F5295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15.4本合同发生纠纷时，甲乙双方应及时协商解决。若协商不成时，可向</w:t>
      </w:r>
      <w:r>
        <w:rPr>
          <w:rFonts w:hint="eastAsia" w:ascii="仿宋" w:hAnsi="仿宋" w:eastAsia="仿宋" w:cs="Times New Roman"/>
          <w:sz w:val="24"/>
          <w:lang w:val="en-US" w:eastAsia="zh-CN"/>
        </w:rPr>
        <w:t>甲方所在地有管辖权的人民法院</w:t>
      </w:r>
      <w:r>
        <w:rPr>
          <w:rFonts w:hint="eastAsia" w:ascii="仿宋" w:hAnsi="仿宋" w:eastAsia="仿宋" w:cs="Times New Roman"/>
          <w:sz w:val="24"/>
        </w:rPr>
        <w:t>提起</w:t>
      </w:r>
      <w:r>
        <w:rPr>
          <w:rFonts w:hint="eastAsia" w:ascii="仿宋" w:hAnsi="仿宋" w:eastAsia="仿宋" w:cs="Times New Roman"/>
          <w:sz w:val="24"/>
          <w:lang w:val="en-US" w:eastAsia="zh-CN"/>
        </w:rPr>
        <w:t>诉讼</w:t>
      </w:r>
      <w:r>
        <w:rPr>
          <w:rFonts w:hint="eastAsia" w:ascii="仿宋" w:hAnsi="仿宋" w:eastAsia="仿宋" w:cs="Times New Roman"/>
          <w:sz w:val="24"/>
        </w:rPr>
        <w:t>。</w:t>
      </w:r>
    </w:p>
    <w:p w14:paraId="56812F9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15.5本合同一式</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份，甲乙双方各执正本</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份，副本</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份，驻地监理办、发包人备案各一份。</w:t>
      </w:r>
    </w:p>
    <w:p w14:paraId="6B90B14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15.6本合同未尽事宜，发包人与甲方签订总包合同的相关条款已有的，按其办理；未涉及的，按照本工程合同文件的精神，甲乙双方协商解决。</w:t>
      </w:r>
    </w:p>
    <w:p w14:paraId="11EB0B6B">
      <w:pPr>
        <w:spacing w:line="360" w:lineRule="auto"/>
        <w:ind w:firstLine="482" w:firstLineChars="200"/>
        <w:rPr>
          <w:rFonts w:hint="eastAsia" w:ascii="仿宋" w:hAnsi="仿宋" w:eastAsia="仿宋" w:cs="Times New Roman"/>
          <w:b/>
          <w:sz w:val="24"/>
        </w:rPr>
      </w:pPr>
    </w:p>
    <w:p w14:paraId="53654B91">
      <w:pPr>
        <w:spacing w:line="360" w:lineRule="auto"/>
        <w:ind w:firstLine="480"/>
        <w:rPr>
          <w:rFonts w:hint="eastAsia" w:ascii="仿宋" w:hAnsi="仿宋" w:eastAsia="仿宋" w:cs="Times New Roman"/>
          <w:sz w:val="24"/>
        </w:rPr>
      </w:pPr>
      <w:r>
        <w:rPr>
          <w:rFonts w:hint="eastAsia" w:ascii="仿宋" w:hAnsi="仿宋" w:eastAsia="仿宋" w:cs="Times New Roman"/>
          <w:sz w:val="24"/>
        </w:rPr>
        <w:t>（此页无正文，仅为签字盖章页）</w:t>
      </w:r>
    </w:p>
    <w:p w14:paraId="7A0BCB10">
      <w:pPr>
        <w:spacing w:line="360" w:lineRule="auto"/>
        <w:ind w:firstLine="480"/>
        <w:rPr>
          <w:rFonts w:hint="eastAsia" w:ascii="仿宋" w:hAnsi="仿宋" w:eastAsia="仿宋" w:cs="Times New Roman"/>
          <w:sz w:val="24"/>
        </w:rPr>
      </w:pPr>
    </w:p>
    <w:p w14:paraId="1F51492F">
      <w:pPr>
        <w:spacing w:line="360" w:lineRule="auto"/>
        <w:ind w:firstLine="480"/>
        <w:rPr>
          <w:rFonts w:hint="eastAsia" w:ascii="仿宋" w:hAnsi="仿宋" w:eastAsia="仿宋" w:cs="Times New Roman"/>
          <w:sz w:val="24"/>
        </w:rPr>
      </w:pPr>
    </w:p>
    <w:p w14:paraId="32A4E863">
      <w:pPr>
        <w:spacing w:line="360" w:lineRule="auto"/>
        <w:ind w:firstLine="480"/>
        <w:rPr>
          <w:rFonts w:hint="eastAsia" w:ascii="仿宋" w:hAnsi="仿宋" w:eastAsia="仿宋" w:cs="Times New Roman"/>
          <w:sz w:val="24"/>
        </w:rPr>
      </w:pPr>
    </w:p>
    <w:p w14:paraId="06B94949">
      <w:pPr>
        <w:spacing w:line="360" w:lineRule="auto"/>
        <w:ind w:firstLine="480"/>
        <w:rPr>
          <w:rFonts w:hint="eastAsia" w:ascii="仿宋" w:hAnsi="仿宋" w:eastAsia="仿宋" w:cs="Times New Roman"/>
          <w:sz w:val="24"/>
        </w:rPr>
      </w:pPr>
    </w:p>
    <w:p w14:paraId="5A931024">
      <w:pPr>
        <w:spacing w:line="400" w:lineRule="exact"/>
        <w:rPr>
          <w:rFonts w:hint="default" w:ascii="仿宋" w:hAnsi="仿宋" w:eastAsia="仿宋" w:cs="Times New Roman"/>
          <w:color w:val="000000"/>
          <w:sz w:val="24"/>
          <w:u w:val="single"/>
          <w:lang w:val="en-US" w:eastAsia="zh-CN"/>
        </w:rPr>
      </w:pPr>
      <w:r>
        <w:rPr>
          <w:rFonts w:hint="eastAsia" w:ascii="仿宋" w:hAnsi="仿宋" w:eastAsia="仿宋" w:cs="Times New Roman"/>
          <w:sz w:val="24"/>
        </w:rPr>
        <w:t>甲方：</w:t>
      </w:r>
      <w:r>
        <w:rPr>
          <w:rFonts w:hint="eastAsia" w:ascii="仿宋" w:hAnsi="仿宋" w:eastAsia="仿宋" w:cs="Times New Roman"/>
          <w:color w:val="000000"/>
          <w:sz w:val="24"/>
          <w:u w:val="none"/>
        </w:rPr>
        <w:t xml:space="preserve"> </w:t>
      </w:r>
      <w:r>
        <w:rPr>
          <w:rFonts w:hint="eastAsia" w:ascii="仿宋" w:hAnsi="仿宋" w:eastAsia="仿宋" w:cs="Times New Roman"/>
          <w:color w:val="000000"/>
          <w:sz w:val="24"/>
          <w:u w:val="none"/>
          <w:lang w:val="en-US" w:eastAsia="zh-CN"/>
        </w:rPr>
        <w:t xml:space="preserve">     </w:t>
      </w:r>
      <w:r>
        <w:rPr>
          <w:rFonts w:hint="eastAsia" w:ascii="仿宋" w:hAnsi="仿宋" w:eastAsia="仿宋" w:cs="Times New Roman"/>
          <w:sz w:val="24"/>
        </w:rPr>
        <w:t>(盖章)</w:t>
      </w:r>
      <w:r>
        <w:rPr>
          <w:rFonts w:hint="eastAsia" w:ascii="仿宋" w:hAnsi="仿宋" w:eastAsia="仿宋" w:cs="Times New Roman"/>
          <w:color w:val="000000"/>
          <w:sz w:val="24"/>
          <w:u w:val="none"/>
          <w:lang w:val="en-US" w:eastAsia="zh-CN"/>
        </w:rPr>
        <w:t xml:space="preserve">                        </w:t>
      </w:r>
      <w:r>
        <w:rPr>
          <w:rFonts w:hint="eastAsia" w:ascii="仿宋" w:hAnsi="仿宋" w:eastAsia="仿宋" w:cs="Times New Roman"/>
          <w:sz w:val="24"/>
        </w:rPr>
        <w:t>乙方：</w:t>
      </w:r>
      <w:r>
        <w:rPr>
          <w:rFonts w:hint="eastAsia" w:ascii="仿宋" w:hAnsi="仿宋" w:eastAsia="仿宋" w:cs="Times New Roman"/>
          <w:sz w:val="24"/>
          <w:lang w:val="en-US" w:eastAsia="zh-CN"/>
        </w:rPr>
        <w:t xml:space="preserve">              </w:t>
      </w:r>
      <w:r>
        <w:rPr>
          <w:rFonts w:hint="eastAsia" w:ascii="仿宋" w:hAnsi="仿宋" w:eastAsia="仿宋" w:cs="Times New Roman"/>
          <w:sz w:val="24"/>
        </w:rPr>
        <w:t>(盖章)</w:t>
      </w:r>
    </w:p>
    <w:p w14:paraId="729EBA0C">
      <w:pPr>
        <w:spacing w:line="400" w:lineRule="exact"/>
        <w:rPr>
          <w:rFonts w:hint="eastAsia" w:ascii="仿宋" w:hAnsi="仿宋" w:eastAsia="仿宋" w:cs="Times New Roman"/>
          <w:sz w:val="24"/>
        </w:rPr>
      </w:pPr>
      <w:r>
        <w:rPr>
          <w:rFonts w:hint="eastAsia" w:ascii="仿宋" w:hAnsi="仿宋" w:eastAsia="仿宋" w:cs="Times New Roman"/>
          <w:sz w:val="24"/>
        </w:rPr>
        <w:t>法定代表人：(签字)                       法定代表人：(签字)</w:t>
      </w:r>
    </w:p>
    <w:p w14:paraId="24998501">
      <w:pPr>
        <w:spacing w:line="400" w:lineRule="exact"/>
        <w:rPr>
          <w:rFonts w:hint="eastAsia" w:ascii="仿宋" w:hAnsi="仿宋" w:eastAsia="仿宋" w:cs="Times New Roman"/>
          <w:sz w:val="24"/>
        </w:rPr>
      </w:pPr>
      <w:r>
        <w:rPr>
          <w:rFonts w:hint="eastAsia" w:ascii="仿宋" w:hAnsi="仿宋" w:eastAsia="仿宋" w:cs="Times New Roman"/>
          <w:sz w:val="24"/>
        </w:rPr>
        <w:t>委托代理人：(签字)                       委托代理人：(签字)</w:t>
      </w:r>
    </w:p>
    <w:p w14:paraId="1C925313">
      <w:pPr>
        <w:spacing w:line="400" w:lineRule="exact"/>
        <w:rPr>
          <w:rFonts w:hint="eastAsia" w:ascii="仿宋" w:hAnsi="仿宋" w:eastAsia="仿宋" w:cs="Times New Roman"/>
          <w:sz w:val="24"/>
        </w:rPr>
      </w:pPr>
      <w:r>
        <w:rPr>
          <w:rFonts w:hint="eastAsia" w:ascii="仿宋" w:hAnsi="仿宋" w:eastAsia="仿宋" w:cs="Times New Roman"/>
          <w:sz w:val="24"/>
        </w:rPr>
        <w:t>地    址：                               地    址：</w:t>
      </w:r>
    </w:p>
    <w:p w14:paraId="32E18E11">
      <w:pPr>
        <w:spacing w:line="400" w:lineRule="exact"/>
        <w:rPr>
          <w:rFonts w:hint="eastAsia" w:ascii="仿宋" w:hAnsi="仿宋" w:eastAsia="仿宋" w:cs="Times New Roman"/>
          <w:sz w:val="24"/>
        </w:rPr>
      </w:pPr>
      <w:r>
        <w:rPr>
          <w:rFonts w:hint="eastAsia" w:ascii="仿宋" w:hAnsi="仿宋" w:eastAsia="仿宋" w:cs="Times New Roman"/>
          <w:sz w:val="24"/>
        </w:rPr>
        <w:t>电    话：                               电    话：</w:t>
      </w:r>
    </w:p>
    <w:p w14:paraId="37937A9C">
      <w:pPr>
        <w:spacing w:line="400" w:lineRule="exact"/>
        <w:rPr>
          <w:rFonts w:hint="eastAsia" w:ascii="仿宋" w:hAnsi="仿宋" w:eastAsia="仿宋" w:cs="Times New Roman"/>
          <w:sz w:val="24"/>
        </w:rPr>
      </w:pPr>
      <w:r>
        <w:rPr>
          <w:rFonts w:hint="eastAsia" w:ascii="仿宋" w:hAnsi="仿宋" w:eastAsia="仿宋" w:cs="Times New Roman"/>
          <w:sz w:val="24"/>
        </w:rPr>
        <w:t>开户银行：                               开户银行：</w:t>
      </w:r>
    </w:p>
    <w:p w14:paraId="10328829">
      <w:pPr>
        <w:spacing w:line="400" w:lineRule="exact"/>
        <w:rPr>
          <w:rFonts w:hint="eastAsia" w:ascii="仿宋" w:hAnsi="仿宋" w:eastAsia="仿宋" w:cs="Times New Roman"/>
          <w:sz w:val="24"/>
        </w:rPr>
      </w:pPr>
      <w:r>
        <w:rPr>
          <w:rFonts w:hint="eastAsia" w:ascii="仿宋" w:hAnsi="仿宋" w:eastAsia="仿宋" w:cs="Times New Roman"/>
          <w:sz w:val="24"/>
        </w:rPr>
        <w:t>银行帐号：                               银行帐号：</w:t>
      </w:r>
    </w:p>
    <w:p w14:paraId="3DBC3C13">
      <w:pPr>
        <w:spacing w:line="400" w:lineRule="exact"/>
        <w:rPr>
          <w:rFonts w:hint="eastAsia" w:ascii="仿宋" w:hAnsi="仿宋" w:eastAsia="仿宋"/>
          <w:sz w:val="24"/>
        </w:rPr>
        <w:sectPr>
          <w:footerReference r:id="rId8" w:type="first"/>
          <w:footerReference r:id="rId7" w:type="default"/>
          <w:pgSz w:w="11906" w:h="16838"/>
          <w:pgMar w:top="1417" w:right="1587" w:bottom="1417" w:left="1587" w:header="851" w:footer="992" w:gutter="0"/>
          <w:pgNumType w:fmt="decimal" w:start="17"/>
          <w:cols w:space="720" w:num="1"/>
          <w:titlePg/>
          <w:rtlGutter w:val="0"/>
          <w:docGrid w:type="lines" w:linePitch="323" w:charSpace="0"/>
        </w:sectPr>
      </w:pPr>
      <w:r>
        <w:rPr>
          <w:rFonts w:hint="eastAsia" w:ascii="仿宋" w:hAnsi="仿宋" w:eastAsia="仿宋" w:cs="Times New Roman"/>
          <w:sz w:val="24"/>
        </w:rPr>
        <w:t xml:space="preserve">签订时间：                               签订时间： </w:t>
      </w:r>
    </w:p>
    <w:p w14:paraId="5AA03B9D">
      <w:pPr>
        <w:pStyle w:val="12"/>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（编号01号）施工分包（土方、槽钢、拉森钢板桩支护工程）</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80462724"/>
      <w:bookmarkStart w:id="19" w:name="_Toc474920011"/>
      <w:bookmarkStart w:id="20" w:name="_Toc486837000"/>
      <w:bookmarkStart w:id="21"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9"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E00BE160-0CDA-4587-AA26-627F10DEBCA6}"/>
  </w:font>
  <w:font w:name="仿宋">
    <w:panose1 w:val="02010609060101010101"/>
    <w:charset w:val="86"/>
    <w:family w:val="auto"/>
    <w:pitch w:val="default"/>
    <w:sig w:usb0="800002BF" w:usb1="38CF7CFA" w:usb2="00000016" w:usb3="00000000" w:csb0="00040001" w:csb1="00000000"/>
    <w:embedRegular r:id="rId2" w:fontKey="{889A7CF2-1679-452D-B713-CB11B77EAA59}"/>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DC32B4F6-F4E1-437A-BE87-0582BC12CD11}"/>
  </w:font>
  <w:font w:name="Arial Unicode MS">
    <w:altName w:val="宋体"/>
    <w:panose1 w:val="020B0604020202020204"/>
    <w:charset w:val="86"/>
    <w:family w:val="roman"/>
    <w:pitch w:val="default"/>
    <w:sig w:usb0="00000000" w:usb1="00000000" w:usb2="0000003F" w:usb3="00000000" w:csb0="603F01FF" w:csb1="FFFF0000"/>
    <w:embedRegular r:id="rId4" w:fontKey="{38266FEE-D3AA-43AF-8245-6D939D8615A5}"/>
  </w:font>
  <w:font w:name="等线">
    <w:altName w:val="微软雅黑"/>
    <w:panose1 w:val="00000000000000000000"/>
    <w:charset w:val="00"/>
    <w:family w:val="auto"/>
    <w:pitch w:val="default"/>
    <w:sig w:usb0="00000000" w:usb1="00000000" w:usb2="00000000" w:usb3="00000000" w:csb0="00000000" w:csb1="00000000"/>
    <w:embedRegular r:id="rId5" w:fontKey="{3A4A2F34-6049-425F-9862-D802EA3497C6}"/>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B6624">
    <w:pPr>
      <w:widowControl w:val="0"/>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2F4705">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18</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 共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NUMPAGES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34</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42F4705">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18</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 共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NUMPAGES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34</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w:t>
                    </w:r>
                  </w:p>
                </w:txbxContent>
              </v:textbox>
            </v:shape>
          </w:pict>
        </mc:Fallback>
      </mc:AlternateContent>
    </w:r>
  </w:p>
  <w:p w14:paraId="32752E31">
    <w:pPr>
      <w:widowControl w:val="0"/>
      <w:snapToGrid w:val="0"/>
      <w:ind w:firstLine="480" w:firstLineChars="200"/>
      <w:jc w:val="left"/>
      <w:rPr>
        <w:rFonts w:hint="eastAsia" w:ascii="Times New Roman" w:hAnsi="Times New Roman" w:eastAsia="宋体" w:cs="Times New Roman"/>
        <w:kern w:val="2"/>
        <w:sz w:val="24"/>
        <w:szCs w:val="24"/>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4FC34">
    <w:pPr>
      <w:pStyle w:val="4"/>
      <w:rPr>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047B9">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01047B9">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17</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34</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17</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34</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673393D"/>
    <w:rsid w:val="1CD70DD8"/>
    <w:rsid w:val="31C33762"/>
    <w:rsid w:val="34A80A94"/>
    <w:rsid w:val="3E374C21"/>
    <w:rsid w:val="403F7575"/>
    <w:rsid w:val="412933DD"/>
    <w:rsid w:val="43424991"/>
    <w:rsid w:val="45834DF5"/>
    <w:rsid w:val="45E14C32"/>
    <w:rsid w:val="4A537A00"/>
    <w:rsid w:val="50B709F1"/>
    <w:rsid w:val="5C1B2DDE"/>
    <w:rsid w:val="604B6F0C"/>
    <w:rsid w:val="62406095"/>
    <w:rsid w:val="672A074E"/>
    <w:rsid w:val="6C7B37C0"/>
    <w:rsid w:val="6D307C24"/>
    <w:rsid w:val="726C1CDE"/>
    <w:rsid w:val="7F474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9"/>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1171</Words>
  <Characters>1317</Characters>
  <Lines>0</Lines>
  <Paragraphs>0</Paragraphs>
  <TotalTime>2</TotalTime>
  <ScaleCrop>false</ScaleCrop>
  <LinksUpToDate>false</LinksUpToDate>
  <CharactersWithSpaces>1342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2025-06-05T05:00:18Z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6FF1D41490094AD5BD71A9B5AEF847B3_13</vt:lpwstr>
  </property>
  <property fmtid="{D5CDD505-2E9C-101B-9397-08002B2CF9AE}" pid="4" name="KSOTemplateDocerSaveRecord">
    <vt:lpwstr>eyJoZGlkIjoiZTcwNDdlYTI1OTFhMDMyZjIzNDQ4NGFmYzk0ZjJkYmQiLCJ1c2VySWQiOiIxNjY4MjkxOTUwIn0=</vt:lpwstr>
  </property>
</Properties>
</file>