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5BC1F745">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广东省惠州市惠东县高潭镇“东江红都”25公里乡村振兴示范带建设高潭镇排污排水系统建设项目(一期)施工</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编号（02）砂石料及灰砂砖竞价</w:t>
      </w:r>
      <w:r>
        <w:rPr>
          <w:rFonts w:hint="eastAsia" w:ascii="宋体" w:hAnsi="宋体" w:eastAsia="宋体" w:cs="宋体"/>
          <w:b/>
          <w:color w:val="auto"/>
          <w:sz w:val="48"/>
          <w:szCs w:val="48"/>
          <w:highlight w:val="none"/>
          <w:u w:val="none"/>
          <w:lang w:eastAsia="zh-CN"/>
        </w:rPr>
        <w:t>文件</w:t>
      </w: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9"/>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9"/>
        <w:rPr>
          <w:rFonts w:hint="eastAsia" w:ascii="宋体" w:hAnsi="宋体" w:eastAsia="宋体" w:cs="宋体"/>
          <w:color w:val="auto"/>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2024年11月25日</w:t>
      </w:r>
    </w:p>
    <w:p w14:paraId="47E673E2">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23C29D41">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
          <w:bCs/>
          <w:color w:val="auto"/>
          <w:sz w:val="44"/>
          <w:szCs w:val="44"/>
        </w:rPr>
        <w:fldChar w:fldCharType="begin"/>
      </w:r>
      <w:r>
        <w:rPr>
          <w:rFonts w:hint="eastAsia" w:ascii="宋体" w:hAnsi="宋体" w:eastAsia="宋体" w:cs="宋体"/>
          <w:b/>
          <w:bCs/>
          <w:color w:val="auto"/>
          <w:sz w:val="44"/>
          <w:szCs w:val="44"/>
        </w:rPr>
        <w:instrText xml:space="preserve">TOC \o "1-3" \h \u </w:instrText>
      </w:r>
      <w:r>
        <w:rPr>
          <w:rFonts w:hint="eastAsia" w:ascii="宋体" w:hAnsi="宋体" w:eastAsia="宋体" w:cs="宋体"/>
          <w:b/>
          <w:bCs/>
          <w:color w:val="auto"/>
          <w:sz w:val="44"/>
          <w:szCs w:val="44"/>
        </w:rPr>
        <w:fldChar w:fldCharType="separate"/>
      </w: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_Toc10131 </w:instrText>
      </w:r>
      <w:r>
        <w:rPr>
          <w:rFonts w:hint="eastAsia" w:ascii="宋体" w:hAnsi="宋体" w:eastAsia="宋体" w:cs="宋体"/>
          <w:bCs/>
          <w:sz w:val="32"/>
          <w:szCs w:val="44"/>
        </w:rPr>
        <w:fldChar w:fldCharType="separate"/>
      </w:r>
      <w:r>
        <w:rPr>
          <w:rFonts w:hint="eastAsia" w:ascii="宋体" w:hAnsi="宋体" w:eastAsia="宋体" w:cs="宋体"/>
          <w:bCs/>
          <w:sz w:val="32"/>
          <w:szCs w:val="40"/>
          <w:highlight w:val="none"/>
          <w:lang w:val="en-US" w:eastAsia="zh-CN"/>
        </w:rPr>
        <w:t>第一部分</w:t>
      </w:r>
      <w:r>
        <w:rPr>
          <w:rFonts w:hint="eastAsia" w:ascii="宋体" w:hAnsi="宋体" w:eastAsia="宋体" w:cs="宋体"/>
          <w:bCs/>
          <w:sz w:val="32"/>
          <w:szCs w:val="40"/>
          <w:highlight w:val="none"/>
          <w:lang w:val="zh-TW" w:eastAsia="zh-TW"/>
        </w:rPr>
        <w:t xml:space="preserve">  </w:t>
      </w:r>
      <w:r>
        <w:rPr>
          <w:rFonts w:hint="eastAsia" w:ascii="宋体" w:hAnsi="宋体" w:eastAsia="宋体" w:cs="宋体"/>
          <w:bCs/>
          <w:sz w:val="32"/>
          <w:szCs w:val="40"/>
          <w:highlight w:val="none"/>
          <w:lang w:val="en-US" w:eastAsia="zh-CN"/>
        </w:rPr>
        <w:t>竞价</w:t>
      </w:r>
      <w:r>
        <w:rPr>
          <w:rFonts w:hint="eastAsia" w:ascii="宋体" w:hAnsi="宋体" w:eastAsia="宋体" w:cs="宋体"/>
          <w:bCs/>
          <w:sz w:val="32"/>
          <w:szCs w:val="40"/>
          <w:highlight w:val="none"/>
          <w:lang w:val="zh-TW" w:eastAsia="zh-TW"/>
        </w:rPr>
        <w:t>公告</w:t>
      </w:r>
      <w:r>
        <w:rPr>
          <w:sz w:val="32"/>
          <w:szCs w:val="32"/>
        </w:rPr>
        <w:tab/>
      </w:r>
      <w:r>
        <w:rPr>
          <w:sz w:val="32"/>
          <w:szCs w:val="32"/>
        </w:rPr>
        <w:fldChar w:fldCharType="begin"/>
      </w:r>
      <w:r>
        <w:rPr>
          <w:sz w:val="32"/>
          <w:szCs w:val="32"/>
        </w:rPr>
        <w:instrText xml:space="preserve"> PAGEREF _Toc10131 \h </w:instrText>
      </w:r>
      <w:r>
        <w:rPr>
          <w:sz w:val="32"/>
          <w:szCs w:val="32"/>
        </w:rPr>
        <w:fldChar w:fldCharType="separate"/>
      </w:r>
      <w:r>
        <w:rPr>
          <w:sz w:val="32"/>
          <w:szCs w:val="32"/>
        </w:rPr>
        <w:t>3</w:t>
      </w:r>
      <w:r>
        <w:rPr>
          <w:sz w:val="32"/>
          <w:szCs w:val="32"/>
        </w:rPr>
        <w:fldChar w:fldCharType="end"/>
      </w:r>
      <w:r>
        <w:rPr>
          <w:rFonts w:hint="eastAsia" w:ascii="宋体" w:hAnsi="宋体" w:eastAsia="宋体" w:cs="宋体"/>
          <w:bCs/>
          <w:color w:val="auto"/>
          <w:sz w:val="32"/>
          <w:szCs w:val="44"/>
        </w:rPr>
        <w:fldChar w:fldCharType="end"/>
      </w:r>
    </w:p>
    <w:p w14:paraId="7F694C16">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_Toc9677 </w:instrText>
      </w:r>
      <w:r>
        <w:rPr>
          <w:rFonts w:hint="eastAsia" w:ascii="宋体" w:hAnsi="宋体" w:eastAsia="宋体" w:cs="宋体"/>
          <w:bCs/>
          <w:sz w:val="32"/>
          <w:szCs w:val="44"/>
        </w:rPr>
        <w:fldChar w:fldCharType="separate"/>
      </w:r>
      <w:r>
        <w:rPr>
          <w:rFonts w:hint="eastAsia" w:ascii="宋体" w:hAnsi="宋体" w:eastAsia="宋体" w:cs="宋体"/>
          <w:bCs/>
          <w:sz w:val="32"/>
          <w:szCs w:val="40"/>
          <w:highlight w:val="none"/>
          <w:lang w:val="zh-TW" w:eastAsia="zh-TW"/>
        </w:rPr>
        <w:t>第</w:t>
      </w:r>
      <w:r>
        <w:rPr>
          <w:rFonts w:hint="eastAsia" w:ascii="宋体" w:hAnsi="宋体" w:eastAsia="宋体" w:cs="宋体"/>
          <w:bCs/>
          <w:sz w:val="32"/>
          <w:szCs w:val="40"/>
          <w:highlight w:val="none"/>
          <w:lang w:eastAsia="zh-CN"/>
        </w:rPr>
        <w:t>二</w:t>
      </w:r>
      <w:r>
        <w:rPr>
          <w:rFonts w:hint="eastAsia" w:ascii="宋体" w:hAnsi="宋体" w:eastAsia="宋体" w:cs="宋体"/>
          <w:bCs/>
          <w:sz w:val="32"/>
          <w:szCs w:val="40"/>
          <w:highlight w:val="none"/>
          <w:lang w:val="zh-TW" w:eastAsia="zh-TW"/>
        </w:rPr>
        <w:t xml:space="preserve">部分  </w:t>
      </w:r>
      <w:r>
        <w:rPr>
          <w:rFonts w:hint="eastAsia" w:ascii="宋体" w:hAnsi="宋体" w:eastAsia="宋体" w:cs="宋体"/>
          <w:bCs/>
          <w:sz w:val="32"/>
          <w:szCs w:val="40"/>
          <w:highlight w:val="none"/>
          <w:lang w:eastAsia="zh-CN"/>
        </w:rPr>
        <w:t>参选人须知</w:t>
      </w:r>
      <w:r>
        <w:rPr>
          <w:sz w:val="32"/>
          <w:szCs w:val="32"/>
        </w:rPr>
        <w:tab/>
      </w:r>
      <w:r>
        <w:rPr>
          <w:sz w:val="32"/>
          <w:szCs w:val="32"/>
        </w:rPr>
        <w:fldChar w:fldCharType="begin"/>
      </w:r>
      <w:r>
        <w:rPr>
          <w:sz w:val="32"/>
          <w:szCs w:val="32"/>
        </w:rPr>
        <w:instrText xml:space="preserve"> PAGEREF _Toc9677 \h </w:instrText>
      </w:r>
      <w:r>
        <w:rPr>
          <w:sz w:val="32"/>
          <w:szCs w:val="32"/>
        </w:rPr>
        <w:fldChar w:fldCharType="separate"/>
      </w:r>
      <w:r>
        <w:rPr>
          <w:sz w:val="32"/>
          <w:szCs w:val="32"/>
        </w:rPr>
        <w:t>6</w:t>
      </w:r>
      <w:r>
        <w:rPr>
          <w:sz w:val="32"/>
          <w:szCs w:val="32"/>
        </w:rPr>
        <w:fldChar w:fldCharType="end"/>
      </w:r>
      <w:r>
        <w:rPr>
          <w:rFonts w:hint="eastAsia" w:ascii="宋体" w:hAnsi="宋体" w:eastAsia="宋体" w:cs="宋体"/>
          <w:bCs/>
          <w:color w:val="auto"/>
          <w:sz w:val="32"/>
          <w:szCs w:val="44"/>
        </w:rPr>
        <w:fldChar w:fldCharType="end"/>
      </w:r>
    </w:p>
    <w:p w14:paraId="56FF1498">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_Toc5855 </w:instrText>
      </w:r>
      <w:r>
        <w:rPr>
          <w:rFonts w:hint="eastAsia" w:ascii="宋体" w:hAnsi="宋体" w:eastAsia="宋体" w:cs="宋体"/>
          <w:bCs/>
          <w:sz w:val="32"/>
          <w:szCs w:val="44"/>
        </w:rPr>
        <w:fldChar w:fldCharType="separate"/>
      </w:r>
      <w:r>
        <w:rPr>
          <w:rFonts w:hint="eastAsia" w:ascii="宋体" w:hAnsi="宋体" w:eastAsia="宋体" w:cs="宋体"/>
          <w:bCs/>
          <w:sz w:val="32"/>
          <w:szCs w:val="40"/>
          <w:lang w:val="en-US" w:eastAsia="zh-CN"/>
        </w:rPr>
        <w:t xml:space="preserve">第三部分 </w:t>
      </w:r>
      <w:r>
        <w:rPr>
          <w:rFonts w:hint="eastAsia" w:ascii="宋体" w:hAnsi="宋体" w:eastAsia="宋体" w:cs="宋体"/>
          <w:bCs/>
          <w:sz w:val="32"/>
          <w:szCs w:val="40"/>
          <w:highlight w:val="none"/>
          <w:lang w:val="en-US" w:eastAsia="zh-CN"/>
        </w:rPr>
        <w:t>工程量清单</w:t>
      </w:r>
      <w:r>
        <w:rPr>
          <w:sz w:val="32"/>
          <w:szCs w:val="32"/>
        </w:rPr>
        <w:tab/>
      </w:r>
      <w:r>
        <w:rPr>
          <w:sz w:val="32"/>
          <w:szCs w:val="32"/>
        </w:rPr>
        <w:fldChar w:fldCharType="begin"/>
      </w:r>
      <w:r>
        <w:rPr>
          <w:sz w:val="32"/>
          <w:szCs w:val="32"/>
        </w:rPr>
        <w:instrText xml:space="preserve"> PAGEREF _Toc5855 \h </w:instrText>
      </w:r>
      <w:r>
        <w:rPr>
          <w:sz w:val="32"/>
          <w:szCs w:val="32"/>
        </w:rPr>
        <w:fldChar w:fldCharType="separate"/>
      </w:r>
      <w:r>
        <w:rPr>
          <w:sz w:val="32"/>
          <w:szCs w:val="32"/>
        </w:rPr>
        <w:t>12</w:t>
      </w:r>
      <w:r>
        <w:rPr>
          <w:sz w:val="32"/>
          <w:szCs w:val="32"/>
        </w:rPr>
        <w:fldChar w:fldCharType="end"/>
      </w:r>
      <w:r>
        <w:rPr>
          <w:rFonts w:hint="eastAsia" w:ascii="宋体" w:hAnsi="宋体" w:eastAsia="宋体" w:cs="宋体"/>
          <w:bCs/>
          <w:color w:val="auto"/>
          <w:sz w:val="32"/>
          <w:szCs w:val="44"/>
        </w:rPr>
        <w:fldChar w:fldCharType="end"/>
      </w:r>
    </w:p>
    <w:p w14:paraId="12721614">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_Toc12123 </w:instrText>
      </w:r>
      <w:r>
        <w:rPr>
          <w:rFonts w:hint="eastAsia" w:ascii="宋体" w:hAnsi="宋体" w:eastAsia="宋体" w:cs="宋体"/>
          <w:bCs/>
          <w:sz w:val="32"/>
          <w:szCs w:val="44"/>
        </w:rPr>
        <w:fldChar w:fldCharType="separate"/>
      </w:r>
      <w:r>
        <w:rPr>
          <w:rFonts w:hint="eastAsia" w:ascii="宋体" w:hAnsi="宋体" w:eastAsia="宋体" w:cs="宋体"/>
          <w:bCs/>
          <w:sz w:val="32"/>
          <w:szCs w:val="40"/>
          <w:highlight w:val="none"/>
          <w:lang w:val="en-US" w:eastAsia="zh-CN"/>
        </w:rPr>
        <w:t>第四部分  评选办法</w:t>
      </w:r>
      <w:r>
        <w:rPr>
          <w:sz w:val="32"/>
          <w:szCs w:val="32"/>
        </w:rPr>
        <w:tab/>
      </w:r>
      <w:r>
        <w:rPr>
          <w:sz w:val="32"/>
          <w:szCs w:val="32"/>
        </w:rPr>
        <w:fldChar w:fldCharType="begin"/>
      </w:r>
      <w:r>
        <w:rPr>
          <w:sz w:val="32"/>
          <w:szCs w:val="32"/>
        </w:rPr>
        <w:instrText xml:space="preserve"> PAGEREF _Toc12123 \h </w:instrText>
      </w:r>
      <w:r>
        <w:rPr>
          <w:sz w:val="32"/>
          <w:szCs w:val="32"/>
        </w:rPr>
        <w:fldChar w:fldCharType="separate"/>
      </w:r>
      <w:r>
        <w:rPr>
          <w:sz w:val="32"/>
          <w:szCs w:val="32"/>
        </w:rPr>
        <w:t>13</w:t>
      </w:r>
      <w:r>
        <w:rPr>
          <w:sz w:val="32"/>
          <w:szCs w:val="32"/>
        </w:rPr>
        <w:fldChar w:fldCharType="end"/>
      </w:r>
      <w:r>
        <w:rPr>
          <w:rFonts w:hint="eastAsia" w:ascii="宋体" w:hAnsi="宋体" w:eastAsia="宋体" w:cs="宋体"/>
          <w:bCs/>
          <w:color w:val="auto"/>
          <w:sz w:val="32"/>
          <w:szCs w:val="44"/>
        </w:rPr>
        <w:fldChar w:fldCharType="end"/>
      </w:r>
    </w:p>
    <w:p w14:paraId="4B49D3FE">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_Toc22014 </w:instrText>
      </w:r>
      <w:r>
        <w:rPr>
          <w:rFonts w:hint="eastAsia" w:ascii="宋体" w:hAnsi="宋体" w:eastAsia="宋体" w:cs="宋体"/>
          <w:bCs/>
          <w:sz w:val="32"/>
          <w:szCs w:val="44"/>
        </w:rPr>
        <w:fldChar w:fldCharType="separate"/>
      </w:r>
      <w:r>
        <w:rPr>
          <w:rFonts w:hint="eastAsia" w:ascii="宋体" w:hAnsi="宋体" w:eastAsia="宋体" w:cs="宋体"/>
          <w:bCs/>
          <w:sz w:val="32"/>
          <w:szCs w:val="40"/>
          <w:highlight w:val="none"/>
          <w:lang w:val="en-US" w:eastAsia="zh-CN"/>
        </w:rPr>
        <w:t>第五部分  合同主要条款</w:t>
      </w:r>
      <w:r>
        <w:rPr>
          <w:sz w:val="32"/>
          <w:szCs w:val="32"/>
        </w:rPr>
        <w:tab/>
      </w:r>
      <w:r>
        <w:rPr>
          <w:sz w:val="32"/>
          <w:szCs w:val="32"/>
        </w:rPr>
        <w:fldChar w:fldCharType="begin"/>
      </w:r>
      <w:r>
        <w:rPr>
          <w:sz w:val="32"/>
          <w:szCs w:val="32"/>
        </w:rPr>
        <w:instrText xml:space="preserve"> PAGEREF _Toc22014 \h </w:instrText>
      </w:r>
      <w:r>
        <w:rPr>
          <w:sz w:val="32"/>
          <w:szCs w:val="32"/>
        </w:rPr>
        <w:fldChar w:fldCharType="separate"/>
      </w:r>
      <w:r>
        <w:rPr>
          <w:sz w:val="32"/>
          <w:szCs w:val="32"/>
        </w:rPr>
        <w:t>14</w:t>
      </w:r>
      <w:r>
        <w:rPr>
          <w:sz w:val="32"/>
          <w:szCs w:val="32"/>
        </w:rPr>
        <w:fldChar w:fldCharType="end"/>
      </w:r>
      <w:r>
        <w:rPr>
          <w:rFonts w:hint="eastAsia" w:ascii="宋体" w:hAnsi="宋体" w:eastAsia="宋体" w:cs="宋体"/>
          <w:bCs/>
          <w:color w:val="auto"/>
          <w:sz w:val="32"/>
          <w:szCs w:val="44"/>
        </w:rPr>
        <w:fldChar w:fldCharType="end"/>
      </w:r>
    </w:p>
    <w:p w14:paraId="5687DB05">
      <w:pPr>
        <w:pStyle w:val="16"/>
        <w:framePr w:wrap="auto" w:vAnchor="margin" w:hAnchor="text" w:yAlign="inline"/>
        <w:tabs>
          <w:tab w:val="right" w:leader="dot" w:pos="8333"/>
        </w:tabs>
        <w:spacing w:line="600" w:lineRule="auto"/>
        <w:rPr>
          <w:sz w:val="32"/>
          <w:szCs w:val="32"/>
        </w:rPr>
      </w:pPr>
      <w:r>
        <w:rPr>
          <w:rFonts w:hint="eastAsia" w:ascii="宋体" w:hAnsi="宋体" w:eastAsia="宋体" w:cs="宋体"/>
          <w:bCs/>
          <w:color w:val="auto"/>
          <w:sz w:val="32"/>
          <w:szCs w:val="44"/>
        </w:rPr>
        <w:fldChar w:fldCharType="begin"/>
      </w:r>
      <w:r>
        <w:rPr>
          <w:rFonts w:hint="eastAsia" w:ascii="宋体" w:hAnsi="宋体" w:eastAsia="宋体" w:cs="宋体"/>
          <w:bCs/>
          <w:sz w:val="32"/>
          <w:szCs w:val="44"/>
        </w:rPr>
        <w:instrText xml:space="preserve"> HYPERLINK \l _Toc14401 </w:instrText>
      </w:r>
      <w:r>
        <w:rPr>
          <w:rFonts w:hint="eastAsia" w:ascii="宋体" w:hAnsi="宋体" w:eastAsia="宋体" w:cs="宋体"/>
          <w:bCs/>
          <w:sz w:val="32"/>
          <w:szCs w:val="44"/>
        </w:rPr>
        <w:fldChar w:fldCharType="separate"/>
      </w:r>
      <w:r>
        <w:rPr>
          <w:rFonts w:hint="eastAsia" w:ascii="宋体" w:hAnsi="宋体" w:eastAsia="宋体" w:cs="宋体"/>
          <w:bCs/>
          <w:sz w:val="32"/>
          <w:szCs w:val="40"/>
          <w:highlight w:val="none"/>
          <w:lang w:val="en-US" w:eastAsia="zh-CN"/>
        </w:rPr>
        <w:t>第六部分  响应文件格式</w:t>
      </w:r>
      <w:r>
        <w:rPr>
          <w:sz w:val="32"/>
          <w:szCs w:val="32"/>
        </w:rPr>
        <w:tab/>
      </w:r>
      <w:r>
        <w:rPr>
          <w:sz w:val="32"/>
          <w:szCs w:val="32"/>
        </w:rPr>
        <w:fldChar w:fldCharType="begin"/>
      </w:r>
      <w:r>
        <w:rPr>
          <w:sz w:val="32"/>
          <w:szCs w:val="32"/>
        </w:rPr>
        <w:instrText xml:space="preserve"> PAGEREF _Toc14401 \h </w:instrText>
      </w:r>
      <w:r>
        <w:rPr>
          <w:sz w:val="32"/>
          <w:szCs w:val="32"/>
        </w:rPr>
        <w:fldChar w:fldCharType="separate"/>
      </w:r>
      <w:r>
        <w:rPr>
          <w:sz w:val="32"/>
          <w:szCs w:val="32"/>
        </w:rPr>
        <w:t>23</w:t>
      </w:r>
      <w:r>
        <w:rPr>
          <w:sz w:val="32"/>
          <w:szCs w:val="32"/>
        </w:rPr>
        <w:fldChar w:fldCharType="end"/>
      </w:r>
      <w:r>
        <w:rPr>
          <w:rFonts w:hint="eastAsia" w:ascii="宋体" w:hAnsi="宋体" w:eastAsia="宋体" w:cs="宋体"/>
          <w:bCs/>
          <w:color w:val="auto"/>
          <w:sz w:val="32"/>
          <w:szCs w:val="44"/>
        </w:rPr>
        <w:fldChar w:fldCharType="end"/>
      </w:r>
    </w:p>
    <w:p w14:paraId="01FC9656">
      <w:pPr>
        <w:keepNext w:val="0"/>
        <w:keepLines w:val="0"/>
        <w:pageBreakBefore w:val="0"/>
        <w:framePr w:wrap="auto" w:vAnchor="margin" w:hAnchor="text" w:yAlign="inline"/>
        <w:widowControl/>
        <w:kinsoku/>
        <w:wordWrap/>
        <w:overflowPunct/>
        <w:topLinePunct w:val="0"/>
        <w:autoSpaceDE/>
        <w:autoSpaceDN/>
        <w:bidi w:val="0"/>
        <w:adjustRightInd/>
        <w:snapToGrid/>
        <w:spacing w:line="600" w:lineRule="auto"/>
        <w:textAlignment w:val="auto"/>
        <w:rPr>
          <w:rFonts w:hint="eastAsia" w:ascii="宋体" w:hAnsi="宋体" w:eastAsia="宋体" w:cs="宋体"/>
          <w:b/>
          <w:bCs/>
          <w:color w:val="auto"/>
          <w:sz w:val="40"/>
          <w:szCs w:val="40"/>
        </w:rPr>
      </w:pPr>
      <w:r>
        <w:rPr>
          <w:rFonts w:hint="eastAsia" w:ascii="宋体" w:hAnsi="宋体" w:eastAsia="宋体" w:cs="宋体"/>
          <w:bCs/>
          <w:color w:val="auto"/>
          <w:sz w:val="32"/>
          <w:szCs w:val="44"/>
        </w:rPr>
        <w:fldChar w:fldCharType="end"/>
      </w: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10131"/>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bookmarkStart w:id="1" w:name="_Toc16780"/>
      <w:bookmarkStart w:id="2" w:name="_Toc21380"/>
      <w:bookmarkStart w:id="3" w:name="_Toc31806"/>
      <w:bookmarkStart w:id="4" w:name="_Toc144974496"/>
      <w:bookmarkStart w:id="5" w:name="_Toc7164"/>
      <w:bookmarkStart w:id="6" w:name="_Toc152045528"/>
      <w:bookmarkStart w:id="7" w:name="_Toc16761"/>
      <w:bookmarkStart w:id="8" w:name="_Toc500491903"/>
      <w:bookmarkStart w:id="9" w:name="_Toc392345907"/>
      <w:bookmarkStart w:id="10" w:name="_Toc152042304"/>
      <w:bookmarkStart w:id="11" w:name="_Toc229646710"/>
      <w:r>
        <w:rPr>
          <w:rFonts w:hint="eastAsia" w:ascii="宋体" w:hAnsi="宋体" w:eastAsia="宋体" w:cs="宋体"/>
          <w:color w:val="auto"/>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）的委托，诚邀国内合格参选人就广东省惠州市惠东县高潭镇“东江红都”25公里乡村振兴示范带建设高潭镇排污排水系统建设项目(一期)施工编号（02）砂石料及灰砂砖</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位于惠东县高潭镇，对圩镇内71个雨污混流点进行升级改造和实行雨污分流，对圩镇内15段严重受损雨污管进行更换，对圩镇内2处雨水管大管接小管问题进行改造，对原有老旧严重堵塞雨污管进行清淤，完善圩镇内仍未铺设雨污管网的地方，长度约9km。主要施工内容为：土石方开挖、沟槽支护、雨水系统、污水系统、管道清淤、路面及人行道破除及修复等（详见施工图纸）。由广东路通达建设工程有限公司负责项目施工任务。</w:t>
      </w:r>
    </w:p>
    <w:p w14:paraId="0A5EC38C">
      <w:pPr>
        <w:pStyle w:val="1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1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w:t>
      </w:r>
      <w:r>
        <w:rPr>
          <w:rFonts w:hint="eastAsia" w:ascii="宋体" w:hAnsi="宋体" w:eastAsia="宋体" w:cs="宋体"/>
          <w:color w:val="auto"/>
          <w:sz w:val="28"/>
          <w:szCs w:val="28"/>
          <w:highlight w:val="none"/>
          <w:u w:val="none" w:color="auto"/>
          <w:lang w:val="en-US" w:eastAsia="zh-CN"/>
        </w:rPr>
        <w:t>砂石料及灰砂砖</w:t>
      </w:r>
    </w:p>
    <w:p w14:paraId="537480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4"/>
          <w:rFonts w:hint="eastAsia" w:ascii="宋体" w:hAnsi="宋体" w:eastAsia="宋体" w:cs="宋体"/>
          <w:i w:val="0"/>
          <w:iCs w:val="0"/>
          <w:caps w:val="0"/>
          <w:color w:val="auto"/>
          <w:spacing w:val="0"/>
          <w:sz w:val="28"/>
          <w:szCs w:val="28"/>
          <w:highlight w:val="none"/>
          <w:u w:val="none"/>
          <w:shd w:val="clear" w:fill="FFFFFF"/>
        </w:rPr>
        <w:t>三、</w:t>
      </w:r>
      <w:r>
        <w:rPr>
          <w:rStyle w:val="24"/>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4"/>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2024年11月2</w:t>
      </w:r>
      <w:r>
        <w:rPr>
          <w:rFonts w:hint="eastAsia" w:ascii="宋体" w:hAnsi="宋体" w:eastAsia="宋体" w:cs="宋体"/>
          <w:color w:val="auto"/>
          <w:sz w:val="28"/>
          <w:szCs w:val="28"/>
          <w:highlight w:val="none"/>
          <w:u w:val="single" w:color="auto"/>
          <w:lang w:val="en-US" w:eastAsia="zh-CN"/>
        </w:rPr>
        <w:t>9</w:t>
      </w:r>
      <w:r>
        <w:rPr>
          <w:rFonts w:hint="eastAsia" w:ascii="宋体" w:hAnsi="宋体" w:eastAsia="宋体" w:cs="宋体"/>
          <w:color w:val="auto"/>
          <w:sz w:val="28"/>
          <w:szCs w:val="28"/>
          <w:highlight w:val="none"/>
          <w:u w:val="single" w:color="auto"/>
          <w:lang w:eastAsia="zh-CN"/>
        </w:rPr>
        <w:t>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公告发布时间：2024年11月25日</w:t>
      </w:r>
    </w:p>
    <w:p w14:paraId="54750EC3">
      <w:pPr>
        <w:framePr w:wrap="auto" w:vAnchor="margin" w:hAnchor="text" w:yAlign="inline"/>
        <w:rPr>
          <w:rFonts w:hint="eastAsia" w:ascii="宋体" w:hAnsi="宋体" w:eastAsia="宋体" w:cs="宋体"/>
          <w:b/>
          <w:bCs/>
          <w:color w:val="auto"/>
          <w:sz w:val="32"/>
          <w:szCs w:val="32"/>
          <w:highlight w:val="none"/>
          <w:lang w:val="zh-TW" w:eastAsia="zh-TW"/>
        </w:rPr>
      </w:pPr>
    </w:p>
    <w:p w14:paraId="61BC0AF9">
      <w:pPr>
        <w:framePr w:wrap="auto" w:vAnchor="margin" w:hAnchor="text" w:yAlign="inline"/>
        <w:rPr>
          <w:rFonts w:hint="eastAsia" w:ascii="宋体" w:hAnsi="宋体" w:eastAsia="宋体" w:cs="宋体"/>
          <w:b/>
          <w:bCs/>
          <w:color w:val="auto"/>
          <w:sz w:val="32"/>
          <w:szCs w:val="32"/>
          <w:highlight w:val="none"/>
          <w:lang w:val="zh-TW" w:eastAsia="zh-TW"/>
        </w:rPr>
      </w:pPr>
    </w:p>
    <w:p w14:paraId="687C0335">
      <w:pPr>
        <w:framePr w:wrap="auto" w:vAnchor="margin" w:hAnchor="text" w:yAlign="inline"/>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9677"/>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广东省惠州市惠东县高潭镇“东江红都”25公里乡村振兴示范带建设高潭镇排污排水系统建设项目(一期)施工编号（02）砂石料及灰砂砖</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承包人现场施工所需的砂石料及灰砂砖</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w:t>
            </w: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lang w:eastAsia="zh-CN"/>
              </w:rPr>
              <w:t>年</w:t>
            </w:r>
            <w:r>
              <w:rPr>
                <w:rFonts w:hint="eastAsia" w:ascii="宋体" w:hAnsi="宋体" w:eastAsia="宋体" w:cs="宋体"/>
                <w:color w:val="auto"/>
                <w:sz w:val="28"/>
                <w:szCs w:val="28"/>
                <w:highlight w:val="none"/>
                <w:u w:val="none"/>
                <w:lang w:val="en-US" w:eastAsia="zh-CN"/>
              </w:rPr>
              <w:t>11</w:t>
            </w:r>
            <w:r>
              <w:rPr>
                <w:rFonts w:hint="eastAsia" w:ascii="宋体" w:hAnsi="宋体" w:eastAsia="宋体" w:cs="宋体"/>
                <w:color w:val="auto"/>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2024年11月29日12:00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b w:val="0"/>
                <w:bCs w:val="0"/>
                <w:color w:val="auto"/>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广东省惠州市惠东县高潭镇“东江红都”25公里乡村振兴示范带建设高潭镇排污排水系统建设项目(一期)施工编号（02）砂石料及灰砂砖</w:t>
      </w:r>
    </w:p>
    <w:tbl>
      <w:tblPr>
        <w:tblStyle w:val="21"/>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3D38E51">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zh-TW" w:eastAsia="zh-TW"/>
        </w:rPr>
        <w:t xml:space="preserve"> </w:t>
      </w:r>
      <w:bookmarkStart w:id="13" w:name="_Toc5855"/>
      <w:r>
        <w:rPr>
          <w:rFonts w:hint="eastAsia" w:ascii="宋体" w:hAnsi="宋体" w:eastAsia="宋体" w:cs="宋体"/>
          <w:b/>
          <w:bCs/>
          <w:color w:val="auto"/>
          <w:sz w:val="32"/>
          <w:szCs w:val="32"/>
          <w:highlight w:val="none"/>
          <w:lang w:val="en-US" w:eastAsia="zh-CN"/>
        </w:rPr>
        <w:t>工程量清单</w:t>
      </w:r>
      <w:bookmarkEnd w:id="13"/>
    </w:p>
    <w:tbl>
      <w:tblPr>
        <w:tblStyle w:val="21"/>
        <w:tblpPr w:leftFromText="180" w:rightFromText="180" w:vertAnchor="text" w:horzAnchor="page" w:tblpX="1662" w:tblpY="89"/>
        <w:tblOverlap w:val="never"/>
        <w:tblW w:w="94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2"/>
        <w:gridCol w:w="1964"/>
        <w:gridCol w:w="1572"/>
        <w:gridCol w:w="785"/>
        <w:gridCol w:w="1192"/>
        <w:gridCol w:w="1318"/>
        <w:gridCol w:w="1567"/>
      </w:tblGrid>
      <w:tr w14:paraId="785FA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9440" w:type="dxa"/>
            <w:gridSpan w:val="7"/>
            <w:tcBorders>
              <w:top w:val="nil"/>
              <w:left w:val="nil"/>
              <w:bottom w:val="nil"/>
              <w:right w:val="nil"/>
            </w:tcBorders>
            <w:shd w:val="clear" w:color="auto" w:fill="auto"/>
            <w:noWrap/>
            <w:vAlign w:val="center"/>
          </w:tcPr>
          <w:p w14:paraId="23130F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附件1</w:t>
            </w:r>
            <w:r>
              <w:rPr>
                <w:rFonts w:ascii="仿宋" w:hAnsi="仿宋" w:eastAsia="仿宋" w:cs="仿宋"/>
                <w:b/>
                <w:bCs/>
                <w:i w:val="0"/>
                <w:iCs w:val="0"/>
                <w:color w:val="000000"/>
                <w:kern w:val="0"/>
                <w:sz w:val="40"/>
                <w:szCs w:val="40"/>
                <w:u w:val="none"/>
                <w:lang w:val="en-US" w:eastAsia="zh-CN" w:bidi="ar"/>
              </w:rPr>
              <w:t xml:space="preserve">             </w:t>
            </w:r>
            <w:r>
              <w:rPr>
                <w:rFonts w:hint="eastAsia" w:ascii="宋体" w:hAnsi="宋体" w:eastAsia="宋体" w:cs="宋体"/>
                <w:b/>
                <w:bCs/>
                <w:i w:val="0"/>
                <w:iCs w:val="0"/>
                <w:color w:val="000000"/>
                <w:kern w:val="0"/>
                <w:sz w:val="40"/>
                <w:szCs w:val="40"/>
                <w:u w:val="none"/>
                <w:lang w:val="en-US" w:eastAsia="zh-CN" w:bidi="ar"/>
              </w:rPr>
              <w:t>砂石料及灰砂砖</w:t>
            </w:r>
            <w:r>
              <w:rPr>
                <w:rFonts w:ascii="仿宋" w:hAnsi="仿宋" w:eastAsia="仿宋" w:cs="仿宋"/>
                <w:b/>
                <w:bCs/>
                <w:i w:val="0"/>
                <w:iCs w:val="0"/>
                <w:color w:val="000000"/>
                <w:kern w:val="0"/>
                <w:sz w:val="40"/>
                <w:szCs w:val="40"/>
                <w:u w:val="none"/>
                <w:lang w:val="en-US" w:eastAsia="zh-CN" w:bidi="ar"/>
              </w:rPr>
              <w:t>报价表</w:t>
            </w:r>
          </w:p>
        </w:tc>
      </w:tr>
      <w:tr w14:paraId="2B809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9440" w:type="dxa"/>
            <w:gridSpan w:val="7"/>
            <w:tcBorders>
              <w:top w:val="nil"/>
              <w:left w:val="nil"/>
              <w:bottom w:val="nil"/>
              <w:right w:val="nil"/>
            </w:tcBorders>
            <w:shd w:val="clear" w:color="auto" w:fill="auto"/>
            <w:vAlign w:val="center"/>
          </w:tcPr>
          <w:p w14:paraId="75920A8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项目名称：广东省惠州市惠东县高潭镇“东江红都”25公里乡村振兴示范带建设高潭镇排污排水系统建设项目(一期)施工</w:t>
            </w:r>
          </w:p>
        </w:tc>
      </w:tr>
      <w:tr w14:paraId="372B1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1042" w:type="dxa"/>
            <w:tcBorders>
              <w:top w:val="nil"/>
              <w:left w:val="nil"/>
              <w:bottom w:val="nil"/>
              <w:right w:val="nil"/>
            </w:tcBorders>
            <w:shd w:val="clear" w:color="auto" w:fill="auto"/>
            <w:noWrap/>
            <w:vAlign w:val="center"/>
          </w:tcPr>
          <w:p w14:paraId="57692FC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报价单位： </w:t>
            </w:r>
          </w:p>
        </w:tc>
        <w:tc>
          <w:tcPr>
            <w:tcW w:w="1964" w:type="dxa"/>
            <w:tcBorders>
              <w:top w:val="nil"/>
              <w:left w:val="nil"/>
              <w:bottom w:val="nil"/>
              <w:right w:val="nil"/>
            </w:tcBorders>
            <w:shd w:val="clear" w:color="auto" w:fill="auto"/>
            <w:noWrap/>
            <w:vAlign w:val="center"/>
          </w:tcPr>
          <w:p w14:paraId="20BE3499">
            <w:pPr>
              <w:framePr w:wrap="auto" w:vAnchor="margin" w:hAnchor="text" w:yAlign="inline"/>
              <w:jc w:val="left"/>
              <w:rPr>
                <w:rFonts w:hint="eastAsia" w:ascii="宋体" w:hAnsi="宋体" w:eastAsia="宋体" w:cs="宋体"/>
                <w:i w:val="0"/>
                <w:iCs w:val="0"/>
                <w:color w:val="000000"/>
                <w:sz w:val="24"/>
                <w:szCs w:val="24"/>
                <w:u w:val="none"/>
              </w:rPr>
            </w:pPr>
          </w:p>
        </w:tc>
        <w:tc>
          <w:tcPr>
            <w:tcW w:w="1572" w:type="dxa"/>
            <w:tcBorders>
              <w:top w:val="nil"/>
              <w:left w:val="nil"/>
              <w:bottom w:val="nil"/>
              <w:right w:val="nil"/>
            </w:tcBorders>
            <w:shd w:val="clear" w:color="auto" w:fill="auto"/>
            <w:noWrap/>
            <w:vAlign w:val="center"/>
          </w:tcPr>
          <w:p w14:paraId="2D5E7452">
            <w:pPr>
              <w:framePr w:wrap="auto" w:vAnchor="margin" w:hAnchor="text" w:yAlign="inline"/>
              <w:jc w:val="left"/>
              <w:rPr>
                <w:rFonts w:hint="eastAsia" w:ascii="宋体" w:hAnsi="宋体" w:eastAsia="宋体" w:cs="宋体"/>
                <w:i w:val="0"/>
                <w:iCs w:val="0"/>
                <w:color w:val="000000"/>
                <w:sz w:val="24"/>
                <w:szCs w:val="24"/>
                <w:u w:val="none"/>
              </w:rPr>
            </w:pPr>
          </w:p>
        </w:tc>
        <w:tc>
          <w:tcPr>
            <w:tcW w:w="785" w:type="dxa"/>
            <w:tcBorders>
              <w:top w:val="nil"/>
              <w:left w:val="nil"/>
              <w:bottom w:val="nil"/>
              <w:right w:val="nil"/>
            </w:tcBorders>
            <w:shd w:val="clear" w:color="auto" w:fill="auto"/>
            <w:noWrap/>
            <w:vAlign w:val="center"/>
          </w:tcPr>
          <w:p w14:paraId="773206A0">
            <w:pPr>
              <w:framePr w:wrap="auto" w:vAnchor="margin" w:hAnchor="text" w:yAlign="inline"/>
              <w:jc w:val="left"/>
              <w:rPr>
                <w:rFonts w:hint="eastAsia" w:ascii="宋体" w:hAnsi="宋体" w:eastAsia="宋体" w:cs="宋体"/>
                <w:i w:val="0"/>
                <w:iCs w:val="0"/>
                <w:color w:val="000000"/>
                <w:sz w:val="24"/>
                <w:szCs w:val="24"/>
                <w:u w:val="none"/>
              </w:rPr>
            </w:pPr>
          </w:p>
        </w:tc>
        <w:tc>
          <w:tcPr>
            <w:tcW w:w="1192" w:type="dxa"/>
            <w:tcBorders>
              <w:top w:val="nil"/>
              <w:left w:val="nil"/>
              <w:bottom w:val="nil"/>
              <w:right w:val="nil"/>
            </w:tcBorders>
            <w:shd w:val="clear" w:color="auto" w:fill="auto"/>
            <w:noWrap/>
            <w:vAlign w:val="center"/>
          </w:tcPr>
          <w:p w14:paraId="63ADDA27">
            <w:pPr>
              <w:framePr w:wrap="auto" w:vAnchor="margin" w:hAnchor="text" w:yAlign="inline"/>
              <w:jc w:val="left"/>
              <w:rPr>
                <w:rFonts w:hint="eastAsia" w:ascii="宋体" w:hAnsi="宋体" w:eastAsia="宋体" w:cs="宋体"/>
                <w:i w:val="0"/>
                <w:iCs w:val="0"/>
                <w:color w:val="000000"/>
                <w:sz w:val="24"/>
                <w:szCs w:val="24"/>
                <w:u w:val="none"/>
              </w:rPr>
            </w:pPr>
          </w:p>
        </w:tc>
        <w:tc>
          <w:tcPr>
            <w:tcW w:w="1318" w:type="dxa"/>
            <w:tcBorders>
              <w:top w:val="nil"/>
              <w:left w:val="nil"/>
              <w:bottom w:val="nil"/>
              <w:right w:val="nil"/>
            </w:tcBorders>
            <w:shd w:val="clear" w:color="auto" w:fill="auto"/>
            <w:noWrap/>
            <w:vAlign w:val="center"/>
          </w:tcPr>
          <w:p w14:paraId="0A8657D3">
            <w:pPr>
              <w:framePr w:wrap="auto" w:vAnchor="margin" w:hAnchor="text" w:yAlign="inline"/>
              <w:jc w:val="left"/>
              <w:rPr>
                <w:rFonts w:hint="eastAsia" w:ascii="宋体" w:hAnsi="宋体" w:eastAsia="宋体" w:cs="宋体"/>
                <w:i w:val="0"/>
                <w:iCs w:val="0"/>
                <w:color w:val="000000"/>
                <w:sz w:val="24"/>
                <w:szCs w:val="24"/>
                <w:u w:val="none"/>
              </w:rPr>
            </w:pPr>
          </w:p>
        </w:tc>
        <w:tc>
          <w:tcPr>
            <w:tcW w:w="1567" w:type="dxa"/>
            <w:tcBorders>
              <w:top w:val="nil"/>
              <w:left w:val="nil"/>
              <w:bottom w:val="nil"/>
              <w:right w:val="nil"/>
            </w:tcBorders>
            <w:shd w:val="clear" w:color="auto" w:fill="auto"/>
            <w:noWrap/>
            <w:vAlign w:val="center"/>
          </w:tcPr>
          <w:p w14:paraId="5F24F389">
            <w:pPr>
              <w:framePr w:wrap="auto" w:vAnchor="margin" w:hAnchor="text" w:yAlign="inline"/>
              <w:rPr>
                <w:rFonts w:hint="eastAsia" w:ascii="宋体" w:hAnsi="宋体" w:eastAsia="宋体" w:cs="宋体"/>
                <w:i w:val="0"/>
                <w:iCs w:val="0"/>
                <w:color w:val="000000"/>
                <w:sz w:val="24"/>
                <w:szCs w:val="24"/>
                <w:u w:val="none"/>
              </w:rPr>
            </w:pPr>
          </w:p>
        </w:tc>
      </w:tr>
      <w:tr w14:paraId="04BA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4578" w:type="dxa"/>
            <w:gridSpan w:val="3"/>
            <w:tcBorders>
              <w:top w:val="nil"/>
              <w:left w:val="nil"/>
              <w:bottom w:val="nil"/>
              <w:right w:val="nil"/>
            </w:tcBorders>
            <w:shd w:val="clear" w:color="auto" w:fill="auto"/>
            <w:vAlign w:val="center"/>
          </w:tcPr>
          <w:p w14:paraId="58999DF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报价日期： </w:t>
            </w:r>
          </w:p>
        </w:tc>
        <w:tc>
          <w:tcPr>
            <w:tcW w:w="785" w:type="dxa"/>
            <w:tcBorders>
              <w:top w:val="nil"/>
              <w:left w:val="nil"/>
              <w:bottom w:val="nil"/>
              <w:right w:val="nil"/>
            </w:tcBorders>
            <w:shd w:val="clear" w:color="auto" w:fill="auto"/>
            <w:vAlign w:val="center"/>
          </w:tcPr>
          <w:p w14:paraId="084DC6F2">
            <w:pPr>
              <w:framePr w:wrap="auto" w:vAnchor="margin" w:hAnchor="text" w:yAlign="inline"/>
              <w:jc w:val="left"/>
              <w:rPr>
                <w:rFonts w:hint="eastAsia" w:ascii="宋体" w:hAnsi="宋体" w:eastAsia="宋体" w:cs="宋体"/>
                <w:i w:val="0"/>
                <w:iCs w:val="0"/>
                <w:color w:val="000000"/>
                <w:sz w:val="24"/>
                <w:szCs w:val="24"/>
                <w:u w:val="none"/>
              </w:rPr>
            </w:pPr>
          </w:p>
        </w:tc>
        <w:tc>
          <w:tcPr>
            <w:tcW w:w="1192" w:type="dxa"/>
            <w:tcBorders>
              <w:top w:val="nil"/>
              <w:left w:val="nil"/>
              <w:bottom w:val="nil"/>
              <w:right w:val="nil"/>
            </w:tcBorders>
            <w:shd w:val="clear" w:color="auto" w:fill="auto"/>
            <w:vAlign w:val="center"/>
          </w:tcPr>
          <w:p w14:paraId="329D0640">
            <w:pPr>
              <w:framePr w:wrap="auto" w:vAnchor="margin" w:hAnchor="text" w:yAlign="inline"/>
              <w:jc w:val="left"/>
              <w:rPr>
                <w:rFonts w:hint="eastAsia" w:ascii="宋体" w:hAnsi="宋体" w:eastAsia="宋体" w:cs="宋体"/>
                <w:i w:val="0"/>
                <w:iCs w:val="0"/>
                <w:color w:val="000000"/>
                <w:sz w:val="24"/>
                <w:szCs w:val="24"/>
                <w:u w:val="none"/>
              </w:rPr>
            </w:pPr>
          </w:p>
        </w:tc>
        <w:tc>
          <w:tcPr>
            <w:tcW w:w="1318" w:type="dxa"/>
            <w:tcBorders>
              <w:top w:val="nil"/>
              <w:left w:val="nil"/>
              <w:bottom w:val="nil"/>
              <w:right w:val="nil"/>
            </w:tcBorders>
            <w:shd w:val="clear" w:color="auto" w:fill="auto"/>
            <w:vAlign w:val="center"/>
          </w:tcPr>
          <w:p w14:paraId="146D5548">
            <w:pPr>
              <w:framePr w:wrap="auto" w:vAnchor="margin" w:hAnchor="text" w:yAlign="inline"/>
              <w:jc w:val="left"/>
              <w:rPr>
                <w:rFonts w:hint="eastAsia" w:ascii="宋体" w:hAnsi="宋体" w:eastAsia="宋体" w:cs="宋体"/>
                <w:i w:val="0"/>
                <w:iCs w:val="0"/>
                <w:color w:val="000000"/>
                <w:sz w:val="24"/>
                <w:szCs w:val="24"/>
                <w:u w:val="none"/>
              </w:rPr>
            </w:pPr>
          </w:p>
        </w:tc>
        <w:tc>
          <w:tcPr>
            <w:tcW w:w="1567" w:type="dxa"/>
            <w:tcBorders>
              <w:top w:val="nil"/>
              <w:left w:val="nil"/>
              <w:bottom w:val="nil"/>
              <w:right w:val="nil"/>
            </w:tcBorders>
            <w:shd w:val="clear" w:color="auto" w:fill="auto"/>
            <w:noWrap/>
            <w:vAlign w:val="center"/>
          </w:tcPr>
          <w:p w14:paraId="5CF92001">
            <w:pPr>
              <w:framePr w:wrap="auto" w:vAnchor="margin" w:hAnchor="text" w:yAlign="inline"/>
              <w:rPr>
                <w:rFonts w:hint="eastAsia" w:ascii="宋体" w:hAnsi="宋体" w:eastAsia="宋体" w:cs="宋体"/>
                <w:i w:val="0"/>
                <w:iCs w:val="0"/>
                <w:color w:val="000000"/>
                <w:sz w:val="24"/>
                <w:szCs w:val="24"/>
                <w:u w:val="none"/>
              </w:rPr>
            </w:pPr>
          </w:p>
        </w:tc>
      </w:tr>
      <w:tr w14:paraId="419A8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1"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298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D8D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B5E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w:t>
            </w:r>
          </w:p>
        </w:tc>
        <w:tc>
          <w:tcPr>
            <w:tcW w:w="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0B5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BBA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6EE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不含增值税单价(元)</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3FA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r>
      <w:tr w14:paraId="24E89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5D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180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回填砂</w:t>
            </w:r>
          </w:p>
        </w:tc>
        <w:tc>
          <w:tcPr>
            <w:tcW w:w="1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59E35">
            <w:pPr>
              <w:framePr w:wrap="auto" w:vAnchor="margin" w:hAnchor="text" w:yAlign="inline"/>
              <w:jc w:val="left"/>
              <w:rPr>
                <w:rFonts w:hint="eastAsia" w:ascii="宋体" w:hAnsi="宋体" w:eastAsia="宋体" w:cs="宋体"/>
                <w:i w:val="0"/>
                <w:iCs w:val="0"/>
                <w:color w:val="000000"/>
                <w:sz w:val="22"/>
                <w:szCs w:val="22"/>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55A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11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2135A">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15660.00</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E77F">
            <w:pPr>
              <w:framePr w:wrap="auto" w:vAnchor="margin" w:hAnchor="text" w:yAlign="inline"/>
              <w:jc w:val="center"/>
              <w:rPr>
                <w:rFonts w:hint="eastAsia" w:ascii="宋体" w:hAnsi="宋体" w:eastAsia="宋体" w:cs="宋体"/>
                <w:i w:val="0"/>
                <w:iCs w:val="0"/>
                <w:color w:val="000000"/>
                <w:sz w:val="24"/>
                <w:szCs w:val="24"/>
                <w:u w:val="none"/>
              </w:rPr>
            </w:pPr>
          </w:p>
        </w:tc>
        <w:tc>
          <w:tcPr>
            <w:tcW w:w="1567" w:type="dxa"/>
            <w:tcBorders>
              <w:top w:val="nil"/>
              <w:left w:val="nil"/>
              <w:bottom w:val="single" w:color="000000" w:sz="4" w:space="0"/>
              <w:right w:val="single" w:color="000000" w:sz="4" w:space="0"/>
            </w:tcBorders>
            <w:shd w:val="clear" w:color="auto" w:fill="FFFFFF"/>
            <w:noWrap/>
            <w:vAlign w:val="center"/>
          </w:tcPr>
          <w:p w14:paraId="24D6D9EA">
            <w:pPr>
              <w:framePr w:wrap="auto" w:vAnchor="margin" w:hAnchor="text" w:yAlign="inline"/>
              <w:jc w:val="center"/>
              <w:rPr>
                <w:rFonts w:hint="eastAsia" w:ascii="宋体" w:hAnsi="宋体" w:eastAsia="宋体" w:cs="宋体"/>
                <w:i w:val="0"/>
                <w:iCs w:val="0"/>
                <w:color w:val="000000"/>
                <w:sz w:val="24"/>
                <w:szCs w:val="24"/>
                <w:u w:val="none"/>
              </w:rPr>
            </w:pPr>
          </w:p>
        </w:tc>
      </w:tr>
      <w:tr w14:paraId="2F8D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AC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C9A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中粗砂（河砂）</w:t>
            </w:r>
          </w:p>
        </w:tc>
        <w:tc>
          <w:tcPr>
            <w:tcW w:w="1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04A7E">
            <w:pPr>
              <w:framePr w:wrap="auto" w:vAnchor="margin" w:hAnchor="text" w:yAlign="inline"/>
              <w:jc w:val="left"/>
              <w:rPr>
                <w:rFonts w:hint="eastAsia" w:ascii="宋体" w:hAnsi="宋体" w:eastAsia="宋体" w:cs="宋体"/>
                <w:i w:val="0"/>
                <w:iCs w:val="0"/>
                <w:color w:val="000000"/>
                <w:sz w:val="22"/>
                <w:szCs w:val="22"/>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941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11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81936">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153.00</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3EDC1">
            <w:pPr>
              <w:framePr w:wrap="auto" w:vAnchor="margin" w:hAnchor="text" w:yAlign="inline"/>
              <w:jc w:val="center"/>
              <w:rPr>
                <w:rFonts w:hint="eastAsia" w:ascii="宋体" w:hAnsi="宋体" w:eastAsia="宋体" w:cs="宋体"/>
                <w:i w:val="0"/>
                <w:iCs w:val="0"/>
                <w:color w:val="000000"/>
                <w:sz w:val="24"/>
                <w:szCs w:val="24"/>
                <w:u w:val="none"/>
              </w:rPr>
            </w:pPr>
          </w:p>
        </w:tc>
        <w:tc>
          <w:tcPr>
            <w:tcW w:w="1567" w:type="dxa"/>
            <w:tcBorders>
              <w:top w:val="nil"/>
              <w:left w:val="nil"/>
              <w:bottom w:val="single" w:color="000000" w:sz="4" w:space="0"/>
              <w:right w:val="single" w:color="000000" w:sz="4" w:space="0"/>
            </w:tcBorders>
            <w:shd w:val="clear" w:color="auto" w:fill="FFFFFF"/>
            <w:noWrap/>
            <w:vAlign w:val="center"/>
          </w:tcPr>
          <w:p w14:paraId="3EA74D2C">
            <w:pPr>
              <w:framePr w:wrap="auto" w:vAnchor="margin" w:hAnchor="text" w:yAlign="inline"/>
              <w:jc w:val="center"/>
              <w:rPr>
                <w:rFonts w:hint="eastAsia" w:ascii="宋体" w:hAnsi="宋体" w:eastAsia="宋体" w:cs="宋体"/>
                <w:i w:val="0"/>
                <w:iCs w:val="0"/>
                <w:color w:val="000000"/>
                <w:sz w:val="24"/>
                <w:szCs w:val="24"/>
                <w:u w:val="none"/>
              </w:rPr>
            </w:pPr>
          </w:p>
        </w:tc>
      </w:tr>
      <w:tr w14:paraId="46831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FD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49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石屑</w:t>
            </w:r>
          </w:p>
        </w:tc>
        <w:tc>
          <w:tcPr>
            <w:tcW w:w="1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4349D">
            <w:pPr>
              <w:framePr w:wrap="auto" w:vAnchor="margin" w:hAnchor="text" w:yAlign="inline"/>
              <w:jc w:val="left"/>
              <w:rPr>
                <w:rFonts w:hint="eastAsia" w:ascii="宋体" w:hAnsi="宋体" w:eastAsia="宋体" w:cs="宋体"/>
                <w:i w:val="0"/>
                <w:iCs w:val="0"/>
                <w:color w:val="000000"/>
                <w:sz w:val="22"/>
                <w:szCs w:val="22"/>
                <w:u w:val="none"/>
              </w:rPr>
            </w:pP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418C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11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CA87E2">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855.00</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E759">
            <w:pPr>
              <w:framePr w:wrap="auto" w:vAnchor="margin" w:hAnchor="text" w:yAlign="inline"/>
              <w:jc w:val="center"/>
              <w:rPr>
                <w:rFonts w:hint="eastAsia" w:ascii="宋体" w:hAnsi="宋体" w:eastAsia="宋体" w:cs="宋体"/>
                <w:i w:val="0"/>
                <w:iCs w:val="0"/>
                <w:color w:val="000000"/>
                <w:sz w:val="24"/>
                <w:szCs w:val="24"/>
                <w:u w:val="none"/>
              </w:rPr>
            </w:pPr>
          </w:p>
        </w:tc>
        <w:tc>
          <w:tcPr>
            <w:tcW w:w="1567" w:type="dxa"/>
            <w:tcBorders>
              <w:top w:val="nil"/>
              <w:left w:val="nil"/>
              <w:bottom w:val="single" w:color="000000" w:sz="4" w:space="0"/>
              <w:right w:val="single" w:color="000000" w:sz="4" w:space="0"/>
            </w:tcBorders>
            <w:shd w:val="clear" w:color="auto" w:fill="FFFFFF"/>
            <w:noWrap/>
            <w:vAlign w:val="center"/>
          </w:tcPr>
          <w:p w14:paraId="72093AC8">
            <w:pPr>
              <w:framePr w:wrap="auto" w:vAnchor="margin" w:hAnchor="text" w:yAlign="inline"/>
              <w:jc w:val="center"/>
              <w:rPr>
                <w:rFonts w:hint="eastAsia" w:ascii="宋体" w:hAnsi="宋体" w:eastAsia="宋体" w:cs="宋体"/>
                <w:i w:val="0"/>
                <w:iCs w:val="0"/>
                <w:color w:val="000000"/>
                <w:sz w:val="24"/>
                <w:szCs w:val="24"/>
                <w:u w:val="none"/>
              </w:rPr>
            </w:pPr>
          </w:p>
        </w:tc>
      </w:tr>
      <w:tr w14:paraId="6E80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AB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42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w:t>
            </w:r>
          </w:p>
        </w:tc>
        <w:tc>
          <w:tcPr>
            <w:tcW w:w="1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C0E5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309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11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B2F9B">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1735.00</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E45D">
            <w:pPr>
              <w:framePr w:wrap="auto" w:vAnchor="margin" w:hAnchor="text" w:yAlign="inline"/>
              <w:jc w:val="center"/>
              <w:rPr>
                <w:rFonts w:hint="eastAsia" w:ascii="宋体" w:hAnsi="宋体" w:eastAsia="宋体" w:cs="宋体"/>
                <w:i w:val="0"/>
                <w:iCs w:val="0"/>
                <w:color w:val="000000"/>
                <w:sz w:val="24"/>
                <w:szCs w:val="24"/>
                <w:u w:val="none"/>
              </w:rPr>
            </w:pPr>
          </w:p>
        </w:tc>
        <w:tc>
          <w:tcPr>
            <w:tcW w:w="1567" w:type="dxa"/>
            <w:tcBorders>
              <w:top w:val="nil"/>
              <w:left w:val="nil"/>
              <w:bottom w:val="single" w:color="000000" w:sz="4" w:space="0"/>
              <w:right w:val="single" w:color="000000" w:sz="4" w:space="0"/>
            </w:tcBorders>
            <w:shd w:val="clear" w:color="auto" w:fill="FFFFFF"/>
            <w:noWrap/>
            <w:vAlign w:val="center"/>
          </w:tcPr>
          <w:p w14:paraId="2E156749">
            <w:pPr>
              <w:framePr w:wrap="auto" w:vAnchor="margin" w:hAnchor="text" w:yAlign="inline"/>
              <w:jc w:val="center"/>
              <w:rPr>
                <w:rFonts w:hint="eastAsia" w:ascii="宋体" w:hAnsi="宋体" w:eastAsia="宋体" w:cs="宋体"/>
                <w:i w:val="0"/>
                <w:iCs w:val="0"/>
                <w:color w:val="000000"/>
                <w:sz w:val="24"/>
                <w:szCs w:val="24"/>
                <w:u w:val="none"/>
              </w:rPr>
            </w:pPr>
          </w:p>
        </w:tc>
      </w:tr>
      <w:tr w14:paraId="78253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1E8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CB3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蒸压灰砂砖</w:t>
            </w:r>
          </w:p>
        </w:tc>
        <w:tc>
          <w:tcPr>
            <w:tcW w:w="1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2984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240×115×53</w:t>
            </w:r>
          </w:p>
        </w:tc>
        <w:tc>
          <w:tcPr>
            <w:tcW w:w="7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47C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千块</w:t>
            </w:r>
          </w:p>
        </w:tc>
        <w:tc>
          <w:tcPr>
            <w:tcW w:w="11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B99DF">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40.70</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CE58">
            <w:pPr>
              <w:framePr w:wrap="auto" w:vAnchor="margin" w:hAnchor="text" w:yAlign="inline"/>
              <w:jc w:val="center"/>
              <w:rPr>
                <w:rFonts w:hint="eastAsia" w:ascii="宋体" w:hAnsi="宋体" w:eastAsia="宋体" w:cs="宋体"/>
                <w:i w:val="0"/>
                <w:iCs w:val="0"/>
                <w:color w:val="000000"/>
                <w:sz w:val="24"/>
                <w:szCs w:val="24"/>
                <w:u w:val="none"/>
              </w:rPr>
            </w:pPr>
          </w:p>
        </w:tc>
        <w:tc>
          <w:tcPr>
            <w:tcW w:w="1567" w:type="dxa"/>
            <w:tcBorders>
              <w:top w:val="nil"/>
              <w:left w:val="nil"/>
              <w:bottom w:val="single" w:color="000000" w:sz="4" w:space="0"/>
              <w:right w:val="single" w:color="000000" w:sz="4" w:space="0"/>
            </w:tcBorders>
            <w:shd w:val="clear" w:color="auto" w:fill="FFFFFF"/>
            <w:noWrap/>
            <w:vAlign w:val="center"/>
          </w:tcPr>
          <w:p w14:paraId="238D2D79">
            <w:pPr>
              <w:framePr w:wrap="auto" w:vAnchor="margin" w:hAnchor="text" w:yAlign="inline"/>
              <w:jc w:val="center"/>
              <w:rPr>
                <w:rFonts w:hint="eastAsia" w:ascii="宋体" w:hAnsi="宋体" w:eastAsia="宋体" w:cs="宋体"/>
                <w:i w:val="0"/>
                <w:iCs w:val="0"/>
                <w:color w:val="000000"/>
                <w:sz w:val="24"/>
                <w:szCs w:val="24"/>
                <w:u w:val="none"/>
              </w:rPr>
            </w:pPr>
          </w:p>
        </w:tc>
      </w:tr>
      <w:tr w14:paraId="53229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3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E0CA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不含税合计</w:t>
            </w:r>
          </w:p>
        </w:tc>
        <w:tc>
          <w:tcPr>
            <w:tcW w:w="643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A7D097">
            <w:pPr>
              <w:framePr w:wrap="auto" w:vAnchor="margin" w:hAnchor="text" w:yAlign="inline"/>
              <w:jc w:val="center"/>
              <w:rPr>
                <w:rFonts w:hint="eastAsia" w:ascii="宋体" w:hAnsi="宋体" w:eastAsia="宋体" w:cs="宋体"/>
                <w:i w:val="0"/>
                <w:iCs w:val="0"/>
                <w:color w:val="000000"/>
                <w:sz w:val="24"/>
                <w:szCs w:val="24"/>
                <w:u w:val="none"/>
              </w:rPr>
            </w:pPr>
          </w:p>
        </w:tc>
      </w:tr>
      <w:tr w14:paraId="7B083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3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75B6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增值税（ </w:t>
            </w:r>
            <w:r>
              <w:rPr>
                <w:rFonts w:hint="eastAsia" w:ascii="宋体" w:hAnsi="宋体" w:eastAsia="宋体" w:cs="宋体"/>
                <w:i w:val="0"/>
                <w:iCs w:val="0"/>
                <w:color w:val="000000"/>
                <w:kern w:val="0"/>
                <w:sz w:val="24"/>
                <w:szCs w:val="24"/>
                <w:u w:val="singl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 xml:space="preserve"> %）</w:t>
            </w:r>
          </w:p>
        </w:tc>
        <w:tc>
          <w:tcPr>
            <w:tcW w:w="643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1AED">
            <w:pPr>
              <w:framePr w:wrap="auto" w:vAnchor="margin" w:hAnchor="text" w:yAlign="inline"/>
              <w:jc w:val="center"/>
              <w:rPr>
                <w:rFonts w:hint="eastAsia" w:ascii="宋体" w:hAnsi="宋体" w:eastAsia="宋体" w:cs="宋体"/>
                <w:i w:val="0"/>
                <w:iCs w:val="0"/>
                <w:color w:val="000000"/>
                <w:sz w:val="24"/>
                <w:szCs w:val="24"/>
                <w:u w:val="none"/>
              </w:rPr>
            </w:pPr>
          </w:p>
        </w:tc>
      </w:tr>
      <w:tr w14:paraId="507C1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3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B5A6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含税合计</w:t>
            </w:r>
          </w:p>
        </w:tc>
        <w:tc>
          <w:tcPr>
            <w:tcW w:w="643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5F41C">
            <w:pPr>
              <w:framePr w:wrap="auto" w:vAnchor="margin" w:hAnchor="text" w:yAlign="inline"/>
              <w:jc w:val="center"/>
              <w:rPr>
                <w:rFonts w:hint="eastAsia" w:ascii="宋体" w:hAnsi="宋体" w:eastAsia="宋体" w:cs="宋体"/>
                <w:i w:val="0"/>
                <w:iCs w:val="0"/>
                <w:color w:val="000000"/>
                <w:sz w:val="24"/>
                <w:szCs w:val="24"/>
                <w:u w:val="none"/>
              </w:rPr>
            </w:pPr>
          </w:p>
        </w:tc>
      </w:tr>
      <w:tr w14:paraId="6D1D0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9440" w:type="dxa"/>
            <w:gridSpan w:val="7"/>
            <w:tcBorders>
              <w:top w:val="nil"/>
              <w:left w:val="nil"/>
              <w:bottom w:val="nil"/>
              <w:right w:val="nil"/>
            </w:tcBorders>
            <w:shd w:val="clear" w:color="auto" w:fill="auto"/>
            <w:vAlign w:val="top"/>
          </w:tcPr>
          <w:p w14:paraId="2E3232FA">
            <w:pPr>
              <w:keepNext w:val="0"/>
              <w:keepLines w:val="0"/>
              <w:framePr w:wrap="auto" w:vAnchor="margin" w:hAnchor="text" w:yAlign="inline"/>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联系人：       联系方式：  </w:t>
            </w:r>
          </w:p>
        </w:tc>
      </w:tr>
    </w:tbl>
    <w:p w14:paraId="55633B28">
      <w:pPr>
        <w:framePr w:wrap="auto" w:vAnchor="margin" w:hAnchor="text" w:yAlign="inline"/>
        <w:rPr>
          <w:rFonts w:hint="eastAsia"/>
          <w:lang w:val="en-US" w:eastAsia="zh-CN"/>
        </w:rPr>
      </w:pPr>
      <w:r>
        <w:rPr>
          <w:rFonts w:hint="eastAsia"/>
          <w:lang w:val="en-US" w:eastAsia="zh-CN"/>
        </w:rPr>
        <w:br w:type="page"/>
      </w:r>
    </w:p>
    <w:p w14:paraId="6B2C6561">
      <w:pPr>
        <w:framePr w:wrap="auto" w:vAnchor="margin" w:hAnchor="text" w:yAlign="inline"/>
        <w:rPr>
          <w:rFonts w:hint="eastAsia"/>
          <w:lang w:val="en-US" w:eastAsia="zh-CN"/>
        </w:r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12123"/>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047EE9FA">
      <w:pPr>
        <w:pStyle w:val="3"/>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22014"/>
      <w:r>
        <w:rPr>
          <w:rFonts w:hint="eastAsia" w:ascii="宋体" w:hAnsi="宋体" w:eastAsia="宋体" w:cs="宋体"/>
          <w:b/>
          <w:bCs/>
          <w:color w:val="auto"/>
          <w:sz w:val="32"/>
          <w:szCs w:val="32"/>
          <w:highlight w:val="none"/>
          <w:lang w:val="en-US" w:eastAsia="zh-CN"/>
        </w:rPr>
        <w:t>第五部分  合同主要条款</w:t>
      </w:r>
      <w:bookmarkEnd w:id="15"/>
    </w:p>
    <w:p w14:paraId="308DABE9">
      <w:pPr>
        <w:framePr w:wrap="around" w:vAnchor="page" w:hAnchor="page" w:x="4224" w:y="1942"/>
        <w:widowControl w:val="0"/>
        <w:spacing w:before="360" w:after="24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color w:val="auto"/>
          <w:kern w:val="2"/>
          <w:sz w:val="36"/>
          <w:szCs w:val="36"/>
          <w:u w:val="single"/>
          <w:lang w:val="en-US" w:eastAsia="zh-CN" w:bidi="ar-SA"/>
        </w:rPr>
        <w:t xml:space="preserve">        </w:t>
      </w:r>
      <w:r>
        <w:rPr>
          <w:rFonts w:hint="eastAsia" w:ascii="仿宋" w:hAnsi="仿宋" w:eastAsia="仿宋" w:cs="Times New Roman"/>
          <w:b/>
          <w:bCs/>
          <w:color w:val="auto"/>
          <w:kern w:val="2"/>
          <w:sz w:val="36"/>
          <w:szCs w:val="36"/>
          <w:lang w:val="en-US" w:eastAsia="zh-CN" w:bidi="ar-SA"/>
        </w:rPr>
        <w:t>采</w:t>
      </w:r>
      <w:r>
        <w:rPr>
          <w:rFonts w:hint="eastAsia" w:ascii="仿宋" w:hAnsi="仿宋" w:eastAsia="仿宋" w:cs="Times New Roman"/>
          <w:b/>
          <w:bCs/>
          <w:kern w:val="2"/>
          <w:sz w:val="36"/>
          <w:szCs w:val="36"/>
          <w:lang w:val="en-US" w:eastAsia="zh-CN" w:bidi="ar-SA"/>
        </w:rPr>
        <w:t>购供应合同</w:t>
      </w:r>
    </w:p>
    <w:p w14:paraId="6068B6F7">
      <w:pPr>
        <w:framePr w:wrap="auto" w:vAnchor="margin" w:hAnchor="text" w:yAlign="inline"/>
        <w:widowControl w:val="0"/>
        <w:jc w:val="center"/>
        <w:rPr>
          <w:rFonts w:hint="eastAsia" w:ascii="仿宋" w:hAnsi="仿宋" w:eastAsia="仿宋"/>
          <w:kern w:val="2"/>
          <w:sz w:val="24"/>
          <w:szCs w:val="24"/>
          <w:lang w:val="zh-CN" w:eastAsia="zh-CN"/>
        </w:rPr>
      </w:pPr>
      <w:r>
        <w:rPr>
          <w:rFonts w:hint="eastAsia" w:ascii="仿宋" w:hAnsi="仿宋" w:eastAsia="仿宋"/>
          <w:kern w:val="2"/>
          <w:sz w:val="24"/>
          <w:szCs w:val="24"/>
          <w:lang w:val="zh-CN" w:eastAsia="zh-CN"/>
        </w:rPr>
        <w:t xml:space="preserve">                               </w:t>
      </w: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val="zh-CN" w:eastAsia="zh-CN"/>
        </w:rPr>
        <w:t xml:space="preserve"> </w:t>
      </w:r>
    </w:p>
    <w:p w14:paraId="1942780E">
      <w:pPr>
        <w:framePr w:wrap="auto" w:vAnchor="margin" w:hAnchor="text" w:yAlign="inline"/>
        <w:widowControl w:val="0"/>
        <w:jc w:val="center"/>
        <w:rPr>
          <w:rFonts w:hint="eastAsia" w:ascii="仿宋" w:hAnsi="仿宋" w:eastAsia="仿宋"/>
          <w:kern w:val="2"/>
          <w:sz w:val="24"/>
          <w:szCs w:val="24"/>
          <w:lang w:val="zh-CN" w:eastAsia="zh-CN"/>
        </w:rPr>
      </w:pPr>
    </w:p>
    <w:p w14:paraId="3F964EF8">
      <w:pPr>
        <w:framePr w:wrap="auto" w:vAnchor="margin" w:hAnchor="text" w:yAlign="inline"/>
        <w:widowControl w:val="0"/>
        <w:jc w:val="center"/>
        <w:rPr>
          <w:rFonts w:hint="eastAsia" w:ascii="仿宋" w:hAnsi="仿宋" w:eastAsia="仿宋"/>
          <w:kern w:val="2"/>
          <w:sz w:val="24"/>
          <w:szCs w:val="24"/>
          <w:lang w:val="zh-CN" w:eastAsia="zh-CN"/>
        </w:rPr>
      </w:pPr>
    </w:p>
    <w:p w14:paraId="30F2A1FE">
      <w:pPr>
        <w:framePr w:wrap="auto" w:vAnchor="margin" w:hAnchor="text" w:yAlign="inline"/>
        <w:widowControl w:val="0"/>
        <w:jc w:val="center"/>
        <w:rPr>
          <w:rFonts w:hint="eastAsia" w:ascii="仿宋" w:hAnsi="仿宋" w:eastAsia="仿宋"/>
          <w:kern w:val="2"/>
          <w:sz w:val="24"/>
          <w:szCs w:val="24"/>
          <w:lang w:val="zh-CN" w:eastAsia="zh-CN"/>
        </w:rPr>
      </w:pPr>
    </w:p>
    <w:p w14:paraId="332D7A9E">
      <w:pPr>
        <w:framePr w:wrap="auto" w:vAnchor="margin" w:hAnchor="text" w:yAlign="inline"/>
        <w:widowControl w:val="0"/>
        <w:jc w:val="center"/>
        <w:rPr>
          <w:rFonts w:hint="default" w:ascii="仿宋" w:hAnsi="仿宋" w:eastAsia="仿宋"/>
          <w:kern w:val="2"/>
          <w:sz w:val="24"/>
          <w:szCs w:val="24"/>
          <w:lang w:val="en-US" w:eastAsia="zh-CN"/>
        </w:rPr>
      </w:pP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val="zh-CN" w:eastAsia="zh-CN"/>
        </w:rPr>
        <w:t>合同编号：</w:t>
      </w:r>
      <w:r>
        <w:rPr>
          <w:rFonts w:hint="eastAsia" w:ascii="仿宋" w:hAnsi="仿宋" w:eastAsia="仿宋"/>
          <w:kern w:val="2"/>
          <w:sz w:val="24"/>
          <w:szCs w:val="24"/>
          <w:u w:val="single"/>
          <w:lang w:val="en-US" w:eastAsia="zh-CN"/>
        </w:rPr>
        <w:t xml:space="preserve">                 </w:t>
      </w:r>
    </w:p>
    <w:p w14:paraId="6430190B">
      <w:pPr>
        <w:framePr w:wrap="auto" w:vAnchor="margin" w:hAnchor="text" w:yAlign="inline"/>
        <w:widowControl w:val="0"/>
        <w:autoSpaceDE w:val="0"/>
        <w:autoSpaceDN w:val="0"/>
        <w:spacing w:line="360" w:lineRule="auto"/>
        <w:jc w:val="both"/>
        <w:rPr>
          <w:rFonts w:hint="eastAsia" w:ascii="仿宋" w:hAnsi="仿宋" w:eastAsia="仿宋"/>
          <w:kern w:val="2"/>
          <w:sz w:val="24"/>
          <w:szCs w:val="24"/>
          <w:lang w:val="zh-CN" w:eastAsia="zh-CN"/>
        </w:rPr>
      </w:pPr>
      <w:r>
        <w:rPr>
          <w:rFonts w:hint="eastAsia" w:ascii="仿宋" w:hAnsi="仿宋" w:eastAsia="仿宋"/>
          <w:kern w:val="2"/>
          <w:sz w:val="24"/>
          <w:szCs w:val="24"/>
          <w:lang w:val="zh-CN" w:eastAsia="zh-CN"/>
        </w:rPr>
        <w:t>甲方</w:t>
      </w:r>
      <w:r>
        <w:rPr>
          <w:rFonts w:hint="eastAsia" w:ascii="仿宋" w:hAnsi="仿宋" w:eastAsia="仿宋"/>
          <w:kern w:val="2"/>
          <w:sz w:val="24"/>
          <w:szCs w:val="24"/>
          <w:lang w:eastAsia="zh-CN"/>
        </w:rPr>
        <w:t>（需方）</w:t>
      </w:r>
      <w:r>
        <w:rPr>
          <w:rFonts w:hint="eastAsia" w:ascii="仿宋" w:hAnsi="仿宋" w:eastAsia="仿宋"/>
          <w:kern w:val="2"/>
          <w:sz w:val="24"/>
          <w:szCs w:val="24"/>
          <w:lang w:val="zh-CN" w:eastAsia="zh-CN"/>
        </w:rPr>
        <w:t>：</w:t>
      </w:r>
      <w:r>
        <w:rPr>
          <w:rFonts w:hint="eastAsia" w:ascii="仿宋" w:hAnsi="仿宋" w:eastAsia="仿宋"/>
          <w:kern w:val="2"/>
          <w:sz w:val="24"/>
          <w:szCs w:val="24"/>
          <w:u w:val="single"/>
          <w:lang w:eastAsia="zh-CN"/>
        </w:rPr>
        <w:t xml:space="preserve"> </w:t>
      </w:r>
      <w:r>
        <w:rPr>
          <w:rFonts w:hint="eastAsia" w:ascii="仿宋" w:hAnsi="仿宋" w:eastAsia="仿宋"/>
          <w:color w:val="000000"/>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p>
    <w:p w14:paraId="00827EE9">
      <w:pPr>
        <w:framePr w:wrap="auto" w:vAnchor="margin" w:hAnchor="text" w:yAlign="inline"/>
        <w:widowControl w:val="0"/>
        <w:autoSpaceDE w:val="0"/>
        <w:autoSpaceDN w:val="0"/>
        <w:spacing w:line="360" w:lineRule="auto"/>
        <w:jc w:val="both"/>
        <w:rPr>
          <w:rFonts w:hint="eastAsia" w:ascii="仿宋" w:hAnsi="仿宋" w:eastAsia="仿宋"/>
          <w:kern w:val="2"/>
          <w:sz w:val="24"/>
          <w:szCs w:val="24"/>
          <w:u w:val="single"/>
          <w:lang w:val="zh-CN" w:eastAsia="zh-CN"/>
        </w:rPr>
      </w:pPr>
      <w:r>
        <w:rPr>
          <w:rFonts w:hint="eastAsia" w:ascii="仿宋" w:hAnsi="仿宋" w:eastAsia="仿宋"/>
          <w:kern w:val="2"/>
          <w:sz w:val="24"/>
          <w:szCs w:val="24"/>
          <w:lang w:val="zh-CN" w:eastAsia="zh-CN"/>
        </w:rPr>
        <w:t>乙方（供方）：</w:t>
      </w:r>
      <w:r>
        <w:rPr>
          <w:rFonts w:hint="eastAsia" w:ascii="仿宋" w:hAnsi="仿宋" w:eastAsia="仿宋"/>
          <w:kern w:val="2"/>
          <w:sz w:val="24"/>
          <w:szCs w:val="24"/>
          <w:u w:val="single"/>
          <w:lang w:val="zh-CN"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val="zh-CN" w:eastAsia="zh-CN"/>
        </w:rPr>
        <w:t xml:space="preserve"> </w:t>
      </w:r>
    </w:p>
    <w:p w14:paraId="145ABF77">
      <w:pPr>
        <w:framePr w:wrap="auto" w:vAnchor="margin" w:hAnchor="text" w:yAlign="inline"/>
        <w:widowControl w:val="0"/>
        <w:autoSpaceDE w:val="0"/>
        <w:autoSpaceDN w:val="0"/>
        <w:spacing w:line="360" w:lineRule="auto"/>
        <w:jc w:val="both"/>
        <w:rPr>
          <w:rFonts w:hint="eastAsia" w:ascii="仿宋" w:hAnsi="仿宋" w:eastAsia="仿宋"/>
          <w:kern w:val="2"/>
          <w:sz w:val="24"/>
          <w:szCs w:val="24"/>
          <w:lang w:val="zh-CN" w:eastAsia="zh-CN"/>
        </w:rPr>
      </w:pPr>
    </w:p>
    <w:p w14:paraId="6080B6F2">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kern w:val="2"/>
          <w:sz w:val="24"/>
          <w:szCs w:val="24"/>
          <w:lang w:val="zh-CN" w:eastAsia="zh-CN"/>
        </w:rPr>
      </w:pPr>
      <w:r>
        <w:rPr>
          <w:rFonts w:hint="eastAsia" w:ascii="仿宋" w:hAnsi="仿宋" w:eastAsia="仿宋"/>
          <w:kern w:val="2"/>
          <w:sz w:val="24"/>
          <w:szCs w:val="24"/>
          <w:lang w:val="zh-CN" w:eastAsia="zh-CN"/>
        </w:rPr>
        <w:t>为保证甲方</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val="zh-CN" w:eastAsia="zh-CN"/>
        </w:rPr>
        <w:t>工程项目</w:t>
      </w:r>
      <w:r>
        <w:rPr>
          <w:rFonts w:hint="eastAsia" w:ascii="仿宋" w:hAnsi="仿宋" w:eastAsia="仿宋"/>
          <w:kern w:val="2"/>
          <w:sz w:val="24"/>
          <w:szCs w:val="24"/>
          <w:lang w:eastAsia="zh-CN"/>
        </w:rPr>
        <w:t>（下称“高潭镇排污排水系统建设项目”）</w:t>
      </w:r>
      <w:r>
        <w:rPr>
          <w:rFonts w:hint="eastAsia" w:ascii="仿宋" w:hAnsi="仿宋" w:eastAsia="仿宋" w:cs="Times New Roman"/>
          <w:kern w:val="2"/>
          <w:sz w:val="24"/>
          <w:szCs w:val="24"/>
          <w:u w:val="none"/>
          <w:lang w:val="en-US" w:eastAsia="zh-CN"/>
        </w:rPr>
        <w:t xml:space="preserve">   </w:t>
      </w:r>
      <w:r>
        <w:rPr>
          <w:rFonts w:hint="eastAsia" w:ascii="仿宋" w:hAnsi="仿宋" w:eastAsia="仿宋"/>
          <w:kern w:val="2"/>
          <w:sz w:val="24"/>
          <w:szCs w:val="24"/>
          <w:u w:val="none"/>
          <w:lang w:eastAsia="zh-CN"/>
        </w:rPr>
        <w:t xml:space="preserve"> </w:t>
      </w:r>
      <w:r>
        <w:rPr>
          <w:rFonts w:hint="eastAsia" w:ascii="仿宋" w:hAnsi="仿宋" w:eastAsia="仿宋"/>
          <w:kern w:val="2"/>
          <w:sz w:val="24"/>
          <w:szCs w:val="24"/>
          <w:lang w:eastAsia="zh-CN"/>
        </w:rPr>
        <w:t>的平稳供应，满足甲方高潭镇排污排水系统建设项目的</w:t>
      </w:r>
      <w:r>
        <w:rPr>
          <w:rFonts w:hint="eastAsia" w:ascii="仿宋" w:hAnsi="仿宋" w:eastAsia="仿宋"/>
          <w:kern w:val="2"/>
          <w:sz w:val="24"/>
          <w:szCs w:val="24"/>
          <w:lang w:val="zh-CN" w:eastAsia="zh-CN"/>
        </w:rPr>
        <w:t>施工要求，甲乙双方拟就</w:t>
      </w:r>
      <w:r>
        <w:rPr>
          <w:rFonts w:hint="eastAsia" w:ascii="仿宋" w:hAnsi="仿宋" w:eastAsia="仿宋"/>
          <w:kern w:val="2"/>
          <w:sz w:val="24"/>
          <w:szCs w:val="24"/>
          <w:u w:val="single"/>
          <w:lang w:val="zh-CN"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val="zh-CN" w:eastAsia="zh-CN"/>
        </w:rPr>
        <w:t xml:space="preserve"> </w:t>
      </w:r>
      <w:r>
        <w:rPr>
          <w:rFonts w:hint="eastAsia" w:ascii="仿宋" w:hAnsi="仿宋" w:eastAsia="仿宋"/>
          <w:kern w:val="2"/>
          <w:sz w:val="24"/>
          <w:szCs w:val="24"/>
          <w:lang w:val="zh-CN" w:eastAsia="zh-CN"/>
        </w:rPr>
        <w:t>项目</w:t>
      </w:r>
      <w:r>
        <w:rPr>
          <w:rFonts w:hint="eastAsia" w:ascii="仿宋" w:hAnsi="仿宋" w:eastAsia="仿宋"/>
          <w:kern w:val="2"/>
          <w:sz w:val="24"/>
          <w:szCs w:val="24"/>
          <w:u w:val="single"/>
          <w:lang w:eastAsia="zh-CN"/>
        </w:rPr>
        <w:t xml:space="preserve"> </w:t>
      </w:r>
      <w:r>
        <w:rPr>
          <w:rFonts w:hint="eastAsia" w:ascii="仿宋" w:hAnsi="仿宋" w:eastAsia="仿宋" w:cs="Times New Roman"/>
          <w:kern w:val="2"/>
          <w:sz w:val="24"/>
          <w:szCs w:val="24"/>
          <w:u w:val="single"/>
          <w:lang w:val="en-US" w:eastAsia="zh-CN"/>
        </w:rPr>
        <w:t xml:space="preserve">  </w:t>
      </w:r>
      <w:r>
        <w:rPr>
          <w:rFonts w:hint="eastAsia" w:ascii="仿宋" w:hAnsi="仿宋" w:eastAsia="仿宋"/>
          <w:color w:val="FF0000"/>
          <w:kern w:val="2"/>
          <w:sz w:val="24"/>
          <w:szCs w:val="24"/>
          <w:u w:val="single"/>
          <w:lang w:eastAsia="zh-CN"/>
        </w:rPr>
        <w:t xml:space="preserve"> </w:t>
      </w:r>
      <w:r>
        <w:rPr>
          <w:rFonts w:hint="eastAsia" w:ascii="仿宋" w:hAnsi="仿宋" w:eastAsia="仿宋"/>
          <w:kern w:val="2"/>
          <w:sz w:val="24"/>
          <w:szCs w:val="24"/>
          <w:lang w:val="zh-CN" w:eastAsia="zh-CN"/>
        </w:rPr>
        <w:t>的需求与供应进行合作。经双方友好协商一致，</w:t>
      </w:r>
      <w:r>
        <w:rPr>
          <w:rFonts w:hint="eastAsia" w:ascii="仿宋" w:hAnsi="仿宋" w:eastAsia="仿宋"/>
          <w:kern w:val="2"/>
          <w:sz w:val="24"/>
          <w:szCs w:val="24"/>
          <w:lang w:eastAsia="zh-CN"/>
        </w:rPr>
        <w:t>特签订本合同，以便共同遵守</w:t>
      </w:r>
      <w:r>
        <w:rPr>
          <w:rFonts w:hint="eastAsia" w:ascii="仿宋" w:hAnsi="仿宋" w:eastAsia="仿宋"/>
          <w:kern w:val="2"/>
          <w:sz w:val="24"/>
          <w:szCs w:val="24"/>
          <w:lang w:val="zh-CN" w:eastAsia="zh-CN"/>
        </w:rPr>
        <w:t>：</w:t>
      </w:r>
    </w:p>
    <w:p w14:paraId="0C6B841E">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第一条  项目需求情况</w:t>
      </w:r>
    </w:p>
    <w:p w14:paraId="7A60CE0F">
      <w:pPr>
        <w:framePr w:wrap="auto" w:vAnchor="margin" w:hAnchor="text" w:yAlign="inline"/>
        <w:widowControl w:val="0"/>
        <w:spacing w:line="360" w:lineRule="auto"/>
        <w:ind w:firstLine="480" w:firstLineChars="200"/>
        <w:jc w:val="both"/>
        <w:rPr>
          <w:rFonts w:hint="eastAsia" w:ascii="仿宋" w:hAnsi="仿宋" w:eastAsia="仿宋"/>
          <w:kern w:val="2"/>
          <w:sz w:val="24"/>
          <w:szCs w:val="24"/>
          <w:u w:val="single"/>
          <w:lang w:eastAsia="zh-CN"/>
        </w:rPr>
      </w:pPr>
      <w:r>
        <w:rPr>
          <w:rFonts w:hint="eastAsia" w:ascii="仿宋" w:hAnsi="仿宋" w:eastAsia="仿宋"/>
          <w:kern w:val="2"/>
          <w:sz w:val="24"/>
          <w:szCs w:val="24"/>
          <w:lang w:eastAsia="zh-CN"/>
        </w:rPr>
        <w:t>1、合同标的：</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p>
    <w:p w14:paraId="0519AAF8">
      <w:pPr>
        <w:framePr w:wrap="auto" w:vAnchor="margin" w:hAnchor="text" w:yAlign="inline"/>
        <w:widowControl w:val="0"/>
        <w:spacing w:line="360" w:lineRule="auto"/>
        <w:ind w:firstLine="480" w:firstLineChars="200"/>
        <w:jc w:val="both"/>
        <w:rPr>
          <w:rFonts w:hint="eastAsia" w:ascii="仿宋" w:hAnsi="仿宋" w:eastAsia="仿宋"/>
          <w:kern w:val="2"/>
          <w:sz w:val="24"/>
          <w:szCs w:val="24"/>
          <w:u w:val="single"/>
          <w:lang w:eastAsia="zh-CN"/>
        </w:rPr>
      </w:pPr>
      <w:r>
        <w:rPr>
          <w:rFonts w:hint="eastAsia" w:ascii="仿宋" w:hAnsi="仿宋" w:eastAsia="仿宋"/>
          <w:kern w:val="2"/>
          <w:sz w:val="24"/>
          <w:szCs w:val="24"/>
          <w:lang w:eastAsia="zh-CN"/>
        </w:rPr>
        <w:t>2、供应地点：</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p>
    <w:p w14:paraId="3BB49AE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3、供货时间：</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年</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月起至</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年</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月止（具体以甲方的需求计划为准）。</w:t>
      </w:r>
    </w:p>
    <w:p w14:paraId="1116A973">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4、材料品种、规格、数量、单价、金额</w:t>
      </w:r>
    </w:p>
    <w:tbl>
      <w:tblPr>
        <w:tblStyle w:val="21"/>
        <w:tblW w:w="8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27"/>
        <w:gridCol w:w="1663"/>
        <w:gridCol w:w="1536"/>
        <w:gridCol w:w="673"/>
        <w:gridCol w:w="1096"/>
        <w:gridCol w:w="1119"/>
        <w:gridCol w:w="1581"/>
      </w:tblGrid>
      <w:tr w14:paraId="54119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7" w:type="dxa"/>
            <w:tcBorders>
              <w:top w:val="single" w:color="000000" w:sz="4" w:space="0"/>
              <w:left w:val="single" w:color="000000" w:sz="4" w:space="0"/>
              <w:bottom w:val="single" w:color="000000" w:sz="4" w:space="0"/>
              <w:right w:val="single" w:color="000000" w:sz="4" w:space="0"/>
            </w:tcBorders>
            <w:noWrap w:val="0"/>
            <w:vAlign w:val="center"/>
          </w:tcPr>
          <w:p w14:paraId="0C6D4BA5">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序号</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51CC68BB">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名称</w:t>
            </w:r>
          </w:p>
        </w:tc>
        <w:tc>
          <w:tcPr>
            <w:tcW w:w="1536" w:type="dxa"/>
            <w:tcBorders>
              <w:top w:val="single" w:color="000000" w:sz="4" w:space="0"/>
              <w:left w:val="single" w:color="000000" w:sz="4" w:space="0"/>
              <w:bottom w:val="single" w:color="000000" w:sz="4" w:space="0"/>
              <w:right w:val="single" w:color="000000" w:sz="4" w:space="0"/>
            </w:tcBorders>
            <w:noWrap w:val="0"/>
            <w:vAlign w:val="center"/>
          </w:tcPr>
          <w:p w14:paraId="62F2B7A0">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规格</w:t>
            </w:r>
          </w:p>
        </w:tc>
        <w:tc>
          <w:tcPr>
            <w:tcW w:w="673" w:type="dxa"/>
            <w:tcBorders>
              <w:top w:val="single" w:color="000000" w:sz="4" w:space="0"/>
              <w:left w:val="single" w:color="000000" w:sz="4" w:space="0"/>
              <w:bottom w:val="single" w:color="000000" w:sz="4" w:space="0"/>
              <w:right w:val="single" w:color="000000" w:sz="4" w:space="0"/>
            </w:tcBorders>
            <w:noWrap w:val="0"/>
            <w:vAlign w:val="center"/>
          </w:tcPr>
          <w:p w14:paraId="779FD4AC">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单位</w:t>
            </w:r>
          </w:p>
        </w:tc>
        <w:tc>
          <w:tcPr>
            <w:tcW w:w="1096" w:type="dxa"/>
            <w:tcBorders>
              <w:top w:val="single" w:color="000000" w:sz="4" w:space="0"/>
              <w:left w:val="single" w:color="000000" w:sz="4" w:space="0"/>
              <w:bottom w:val="single" w:color="000000" w:sz="4" w:space="0"/>
              <w:right w:val="single" w:color="000000" w:sz="4" w:space="0"/>
            </w:tcBorders>
            <w:noWrap w:val="0"/>
            <w:vAlign w:val="center"/>
          </w:tcPr>
          <w:p w14:paraId="77FBB383">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需求数量</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4CA3753E">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不含增值税单价(元)</w:t>
            </w:r>
          </w:p>
        </w:tc>
        <w:tc>
          <w:tcPr>
            <w:tcW w:w="1581" w:type="dxa"/>
            <w:tcBorders>
              <w:top w:val="single" w:color="000000" w:sz="4" w:space="0"/>
              <w:left w:val="single" w:color="000000" w:sz="4" w:space="0"/>
              <w:bottom w:val="single" w:color="000000" w:sz="4" w:space="0"/>
              <w:right w:val="single" w:color="000000" w:sz="4" w:space="0"/>
            </w:tcBorders>
            <w:noWrap w:val="0"/>
            <w:vAlign w:val="center"/>
          </w:tcPr>
          <w:p w14:paraId="28A234A9">
            <w:pPr>
              <w:keepNext w:val="0"/>
              <w:keepLines w:val="0"/>
              <w:framePr w:wrap="auto" w:vAnchor="margin" w:hAnchor="text" w:yAlign="inline"/>
              <w:widowControl/>
              <w:suppressLineNumbers w:val="0"/>
              <w:jc w:val="center"/>
              <w:textAlignment w:val="center"/>
              <w:rPr>
                <w:rFonts w:hint="eastAsia" w:ascii="仿宋" w:hAnsi="仿宋" w:eastAsia="仿宋" w:cs="仿宋"/>
                <w:b/>
                <w:bCs/>
                <w:i w:val="0"/>
                <w:iCs w:val="0"/>
                <w:color w:val="000000"/>
                <w:kern w:val="2"/>
                <w:sz w:val="24"/>
                <w:szCs w:val="24"/>
                <w:u w:val="none"/>
                <w:lang w:eastAsia="zh-CN"/>
              </w:rPr>
            </w:pPr>
            <w:r>
              <w:rPr>
                <w:rFonts w:hint="eastAsia" w:ascii="仿宋" w:hAnsi="仿宋" w:eastAsia="仿宋" w:cs="仿宋"/>
                <w:b/>
                <w:bCs/>
                <w:i w:val="0"/>
                <w:iCs w:val="0"/>
                <w:color w:val="000000"/>
                <w:kern w:val="0"/>
                <w:sz w:val="24"/>
                <w:szCs w:val="24"/>
                <w:u w:val="none"/>
                <w:lang w:val="en-US" w:eastAsia="zh-CN" w:bidi="ar"/>
              </w:rPr>
              <w:t>合价(元)</w:t>
            </w:r>
          </w:p>
        </w:tc>
      </w:tr>
      <w:tr w14:paraId="30700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8B5B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DAFBD">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回填砂</w:t>
            </w:r>
          </w:p>
        </w:tc>
        <w:tc>
          <w:tcPr>
            <w:tcW w:w="15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B7AE3">
            <w:pPr>
              <w:framePr w:wrap="auto" w:vAnchor="margin" w:hAnchor="text" w:yAlign="inline"/>
              <w:widowControl w:val="0"/>
              <w:jc w:val="left"/>
              <w:rPr>
                <w:rFonts w:hint="eastAsia" w:ascii="仿宋" w:hAnsi="仿宋" w:eastAsia="仿宋" w:cs="仿宋"/>
                <w:i w:val="0"/>
                <w:iCs w:val="0"/>
                <w:color w:val="000000"/>
                <w:kern w:val="2"/>
                <w:sz w:val="22"/>
                <w:szCs w:val="22"/>
                <w:u w:val="none"/>
                <w:lang w:eastAsia="zh-CN"/>
              </w:rPr>
            </w:pPr>
          </w:p>
        </w:tc>
        <w:tc>
          <w:tcPr>
            <w:tcW w:w="6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110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5F437">
            <w:pPr>
              <w:keepNext w:val="0"/>
              <w:keepLines w:val="0"/>
              <w:framePr w:wrap="auto" w:vAnchor="margin" w:hAnchor="text" w:yAlign="inline"/>
              <w:widowControl/>
              <w:suppressLineNumbers w:val="0"/>
              <w:jc w:val="righ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15660.00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4242C">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kern w:val="2"/>
                <w:sz w:val="24"/>
                <w:szCs w:val="24"/>
                <w:u w:val="none"/>
                <w:lang w:val="en-US" w:eastAsia="zh-CN"/>
              </w:rPr>
            </w:pPr>
          </w:p>
        </w:tc>
        <w:tc>
          <w:tcPr>
            <w:tcW w:w="0" w:type="auto"/>
            <w:tcBorders>
              <w:top w:val="nil"/>
              <w:left w:val="nil"/>
              <w:bottom w:val="single" w:color="000000" w:sz="4" w:space="0"/>
              <w:right w:val="single" w:color="000000" w:sz="4" w:space="0"/>
            </w:tcBorders>
            <w:shd w:val="clear" w:color="auto" w:fill="FFFFFF"/>
            <w:noWrap/>
            <w:vAlign w:val="center"/>
          </w:tcPr>
          <w:p w14:paraId="389D33F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r>
      <w:tr w14:paraId="56A97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1A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2</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DBF26">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中粗砂（河砂）</w:t>
            </w:r>
          </w:p>
        </w:tc>
        <w:tc>
          <w:tcPr>
            <w:tcW w:w="15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70F9F6">
            <w:pPr>
              <w:framePr w:wrap="auto" w:vAnchor="margin" w:hAnchor="text" w:yAlign="inline"/>
              <w:widowControl w:val="0"/>
              <w:jc w:val="left"/>
              <w:rPr>
                <w:rFonts w:hint="eastAsia" w:ascii="仿宋" w:hAnsi="仿宋" w:eastAsia="仿宋" w:cs="仿宋"/>
                <w:i w:val="0"/>
                <w:iCs w:val="0"/>
                <w:color w:val="000000"/>
                <w:kern w:val="2"/>
                <w:sz w:val="22"/>
                <w:szCs w:val="22"/>
                <w:u w:val="none"/>
                <w:lang w:eastAsia="zh-CN"/>
              </w:rPr>
            </w:pPr>
          </w:p>
        </w:tc>
        <w:tc>
          <w:tcPr>
            <w:tcW w:w="6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72920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9B1B7">
            <w:pPr>
              <w:keepNext w:val="0"/>
              <w:keepLines w:val="0"/>
              <w:framePr w:wrap="auto" w:vAnchor="margin" w:hAnchor="text" w:yAlign="inline"/>
              <w:widowControl/>
              <w:suppressLineNumbers w:val="0"/>
              <w:jc w:val="righ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153.00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84645">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kern w:val="2"/>
                <w:sz w:val="24"/>
                <w:szCs w:val="24"/>
                <w:u w:val="none"/>
                <w:lang w:val="en-US" w:eastAsia="zh-CN"/>
              </w:rPr>
            </w:pPr>
          </w:p>
        </w:tc>
        <w:tc>
          <w:tcPr>
            <w:tcW w:w="0" w:type="auto"/>
            <w:tcBorders>
              <w:top w:val="nil"/>
              <w:left w:val="nil"/>
              <w:bottom w:val="single" w:color="000000" w:sz="4" w:space="0"/>
              <w:right w:val="single" w:color="000000" w:sz="4" w:space="0"/>
            </w:tcBorders>
            <w:shd w:val="clear" w:color="auto" w:fill="FFFFFF"/>
            <w:noWrap/>
            <w:vAlign w:val="center"/>
          </w:tcPr>
          <w:p w14:paraId="5DB77B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r>
      <w:tr w14:paraId="08021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F91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3</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CE506">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石屑</w:t>
            </w:r>
          </w:p>
        </w:tc>
        <w:tc>
          <w:tcPr>
            <w:tcW w:w="15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6D504">
            <w:pPr>
              <w:framePr w:wrap="auto" w:vAnchor="margin" w:hAnchor="text" w:yAlign="inline"/>
              <w:widowControl w:val="0"/>
              <w:jc w:val="left"/>
              <w:rPr>
                <w:rFonts w:hint="eastAsia" w:ascii="仿宋" w:hAnsi="仿宋" w:eastAsia="仿宋" w:cs="仿宋"/>
                <w:i w:val="0"/>
                <w:iCs w:val="0"/>
                <w:color w:val="000000"/>
                <w:kern w:val="2"/>
                <w:sz w:val="22"/>
                <w:szCs w:val="22"/>
                <w:u w:val="none"/>
                <w:lang w:eastAsia="zh-CN"/>
              </w:rPr>
            </w:pPr>
          </w:p>
        </w:tc>
        <w:tc>
          <w:tcPr>
            <w:tcW w:w="6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1AC1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16EC9">
            <w:pPr>
              <w:keepNext w:val="0"/>
              <w:keepLines w:val="0"/>
              <w:framePr w:wrap="auto" w:vAnchor="margin" w:hAnchor="text" w:yAlign="inline"/>
              <w:widowControl/>
              <w:suppressLineNumbers w:val="0"/>
              <w:jc w:val="righ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855.00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24D6D">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kern w:val="2"/>
                <w:sz w:val="24"/>
                <w:szCs w:val="24"/>
                <w:u w:val="none"/>
                <w:lang w:val="en-US" w:eastAsia="zh-CN"/>
              </w:rPr>
            </w:pPr>
          </w:p>
        </w:tc>
        <w:tc>
          <w:tcPr>
            <w:tcW w:w="0" w:type="auto"/>
            <w:tcBorders>
              <w:top w:val="nil"/>
              <w:left w:val="nil"/>
              <w:bottom w:val="single" w:color="000000" w:sz="4" w:space="0"/>
              <w:right w:val="single" w:color="000000" w:sz="4" w:space="0"/>
            </w:tcBorders>
            <w:shd w:val="clear" w:color="auto" w:fill="FFFFFF"/>
            <w:noWrap/>
            <w:vAlign w:val="center"/>
          </w:tcPr>
          <w:p w14:paraId="0E1A64E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r>
      <w:tr w14:paraId="37701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D73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4</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A17F1">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碎石</w:t>
            </w:r>
          </w:p>
        </w:tc>
        <w:tc>
          <w:tcPr>
            <w:tcW w:w="15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995F76">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综合</w:t>
            </w:r>
          </w:p>
        </w:tc>
        <w:tc>
          <w:tcPr>
            <w:tcW w:w="6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739C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m3</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A42E4">
            <w:pPr>
              <w:keepNext w:val="0"/>
              <w:keepLines w:val="0"/>
              <w:framePr w:wrap="auto" w:vAnchor="margin" w:hAnchor="text" w:yAlign="inline"/>
              <w:widowControl/>
              <w:suppressLineNumbers w:val="0"/>
              <w:jc w:val="righ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1735.00</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C623E">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kern w:val="2"/>
                <w:sz w:val="24"/>
                <w:szCs w:val="24"/>
                <w:u w:val="none"/>
                <w:lang w:val="en-US" w:eastAsia="zh-CN"/>
              </w:rPr>
            </w:pPr>
          </w:p>
        </w:tc>
        <w:tc>
          <w:tcPr>
            <w:tcW w:w="0" w:type="auto"/>
            <w:tcBorders>
              <w:top w:val="nil"/>
              <w:left w:val="nil"/>
              <w:bottom w:val="single" w:color="000000" w:sz="4" w:space="0"/>
              <w:right w:val="single" w:color="000000" w:sz="4" w:space="0"/>
            </w:tcBorders>
            <w:shd w:val="clear" w:color="auto" w:fill="FFFFFF"/>
            <w:noWrap/>
            <w:vAlign w:val="center"/>
          </w:tcPr>
          <w:p w14:paraId="384073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p>
        </w:tc>
      </w:tr>
      <w:tr w14:paraId="47892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656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C17AB">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蒸压灰砂砖</w:t>
            </w:r>
          </w:p>
        </w:tc>
        <w:tc>
          <w:tcPr>
            <w:tcW w:w="15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22BE0">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240×115×53</w:t>
            </w:r>
          </w:p>
        </w:tc>
        <w:tc>
          <w:tcPr>
            <w:tcW w:w="6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2A99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2"/>
                <w:szCs w:val="22"/>
                <w:u w:val="none"/>
                <w:lang w:eastAsia="zh-CN"/>
              </w:rPr>
            </w:pPr>
            <w:r>
              <w:rPr>
                <w:rFonts w:hint="eastAsia" w:ascii="仿宋" w:hAnsi="仿宋" w:eastAsia="仿宋" w:cs="仿宋"/>
                <w:i w:val="0"/>
                <w:iCs w:val="0"/>
                <w:color w:val="000000"/>
                <w:kern w:val="0"/>
                <w:sz w:val="22"/>
                <w:szCs w:val="22"/>
                <w:u w:val="none"/>
                <w:lang w:val="en-US" w:eastAsia="zh-CN" w:bidi="ar"/>
              </w:rPr>
              <w:t>千块</w:t>
            </w:r>
          </w:p>
        </w:tc>
        <w:tc>
          <w:tcPr>
            <w:tcW w:w="10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BBEB8">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000000"/>
                <w:kern w:val="2"/>
                <w:sz w:val="22"/>
                <w:szCs w:val="22"/>
                <w:u w:val="none"/>
                <w:lang w:val="en-US" w:eastAsia="zh-CN"/>
              </w:rPr>
            </w:pPr>
            <w:r>
              <w:rPr>
                <w:rFonts w:hint="eastAsia" w:ascii="仿宋" w:hAnsi="仿宋" w:eastAsia="仿宋" w:cs="仿宋"/>
                <w:i w:val="0"/>
                <w:iCs w:val="0"/>
                <w:color w:val="000000"/>
                <w:kern w:val="0"/>
                <w:sz w:val="22"/>
                <w:szCs w:val="22"/>
                <w:u w:val="none"/>
                <w:lang w:val="en-US" w:eastAsia="zh-CN" w:bidi="ar"/>
              </w:rPr>
              <w:t>40.7</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3D3CB">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kern w:val="2"/>
                <w:sz w:val="24"/>
                <w:szCs w:val="24"/>
                <w:u w:val="none"/>
                <w:lang w:val="en-US" w:eastAsia="zh-CN"/>
              </w:rPr>
            </w:pPr>
          </w:p>
        </w:tc>
        <w:tc>
          <w:tcPr>
            <w:tcW w:w="0" w:type="auto"/>
            <w:tcBorders>
              <w:top w:val="nil"/>
              <w:left w:val="nil"/>
              <w:bottom w:val="single" w:color="000000" w:sz="4" w:space="0"/>
              <w:right w:val="single" w:color="000000" w:sz="4" w:space="0"/>
            </w:tcBorders>
            <w:shd w:val="clear" w:color="auto" w:fill="FFFFFF"/>
            <w:noWrap/>
            <w:vAlign w:val="center"/>
          </w:tcPr>
          <w:p w14:paraId="5B53E7EF">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000000"/>
                <w:kern w:val="2"/>
                <w:sz w:val="24"/>
                <w:szCs w:val="24"/>
                <w:u w:val="none"/>
                <w:lang w:val="en-US" w:eastAsia="zh-CN"/>
              </w:rPr>
            </w:pPr>
          </w:p>
        </w:tc>
      </w:tr>
      <w:tr w14:paraId="4FC99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90" w:type="dxa"/>
            <w:gridSpan w:val="2"/>
            <w:tcBorders>
              <w:top w:val="single" w:color="000000" w:sz="4" w:space="0"/>
              <w:left w:val="single" w:color="000000" w:sz="4" w:space="0"/>
              <w:bottom w:val="single" w:color="000000" w:sz="4" w:space="0"/>
              <w:right w:val="single" w:color="000000" w:sz="4" w:space="0"/>
            </w:tcBorders>
            <w:noWrap w:val="0"/>
            <w:vAlign w:val="center"/>
          </w:tcPr>
          <w:p w14:paraId="7EF942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不含税合计</w:t>
            </w:r>
          </w:p>
        </w:tc>
        <w:tc>
          <w:tcPr>
            <w:tcW w:w="6005" w:type="dxa"/>
            <w:gridSpan w:val="5"/>
            <w:tcBorders>
              <w:top w:val="single" w:color="000000" w:sz="4" w:space="0"/>
              <w:left w:val="single" w:color="000000" w:sz="4" w:space="0"/>
              <w:bottom w:val="single" w:color="000000" w:sz="4" w:space="0"/>
              <w:right w:val="single" w:color="000000" w:sz="4" w:space="0"/>
            </w:tcBorders>
            <w:noWrap w:val="0"/>
            <w:vAlign w:val="center"/>
          </w:tcPr>
          <w:p w14:paraId="6E2855EF">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000000"/>
                <w:kern w:val="2"/>
                <w:sz w:val="24"/>
                <w:szCs w:val="24"/>
                <w:u w:val="none"/>
                <w:lang w:val="en-US" w:eastAsia="zh-CN"/>
              </w:rPr>
            </w:pPr>
          </w:p>
        </w:tc>
      </w:tr>
      <w:tr w14:paraId="67298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90" w:type="dxa"/>
            <w:gridSpan w:val="2"/>
            <w:tcBorders>
              <w:top w:val="single" w:color="000000" w:sz="4" w:space="0"/>
              <w:left w:val="single" w:color="000000" w:sz="4" w:space="0"/>
              <w:bottom w:val="single" w:color="000000" w:sz="4" w:space="0"/>
              <w:right w:val="single" w:color="000000" w:sz="4" w:space="0"/>
            </w:tcBorders>
            <w:noWrap w:val="0"/>
            <w:vAlign w:val="center"/>
          </w:tcPr>
          <w:p w14:paraId="115DC8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Style w:val="50"/>
                <w:rFonts w:hint="eastAsia" w:ascii="仿宋" w:hAnsi="仿宋" w:eastAsia="仿宋" w:cs="仿宋"/>
                <w:kern w:val="2"/>
                <w:lang w:val="en-US" w:eastAsia="zh-CN" w:bidi="ar"/>
              </w:rPr>
              <w:t xml:space="preserve">增值税（ </w:t>
            </w:r>
            <w:r>
              <w:rPr>
                <w:rStyle w:val="51"/>
                <w:rFonts w:hint="eastAsia" w:ascii="仿宋" w:hAnsi="仿宋" w:eastAsia="仿宋" w:cs="仿宋"/>
                <w:kern w:val="2"/>
                <w:lang w:val="en-US" w:eastAsia="zh-CN" w:bidi="ar"/>
              </w:rPr>
              <w:t xml:space="preserve">  </w:t>
            </w:r>
            <w:r>
              <w:rPr>
                <w:rStyle w:val="50"/>
                <w:rFonts w:hint="eastAsia" w:ascii="仿宋" w:hAnsi="仿宋" w:eastAsia="仿宋" w:cs="仿宋"/>
                <w:kern w:val="2"/>
                <w:lang w:val="en-US" w:eastAsia="zh-CN" w:bidi="ar"/>
              </w:rPr>
              <w:t xml:space="preserve"> %）</w:t>
            </w:r>
          </w:p>
        </w:tc>
        <w:tc>
          <w:tcPr>
            <w:tcW w:w="0" w:type="auto"/>
            <w:gridSpan w:val="5"/>
            <w:tcBorders>
              <w:top w:val="single" w:color="000000" w:sz="4" w:space="0"/>
              <w:left w:val="single" w:color="000000" w:sz="4" w:space="0"/>
              <w:bottom w:val="single" w:color="000000" w:sz="4" w:space="0"/>
              <w:right w:val="single" w:color="000000" w:sz="4" w:space="0"/>
            </w:tcBorders>
            <w:noWrap/>
            <w:vAlign w:val="center"/>
          </w:tcPr>
          <w:p w14:paraId="4448B49C">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000000"/>
                <w:kern w:val="2"/>
                <w:sz w:val="24"/>
                <w:szCs w:val="24"/>
                <w:u w:val="none"/>
                <w:lang w:val="en-US" w:eastAsia="zh-CN"/>
              </w:rPr>
            </w:pPr>
          </w:p>
        </w:tc>
      </w:tr>
      <w:tr w14:paraId="6E311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90" w:type="dxa"/>
            <w:gridSpan w:val="2"/>
            <w:tcBorders>
              <w:top w:val="single" w:color="000000" w:sz="4" w:space="0"/>
              <w:left w:val="single" w:color="000000" w:sz="4" w:space="0"/>
              <w:bottom w:val="single" w:color="000000" w:sz="4" w:space="0"/>
              <w:right w:val="single" w:color="000000" w:sz="4" w:space="0"/>
            </w:tcBorders>
            <w:noWrap w:val="0"/>
            <w:vAlign w:val="center"/>
          </w:tcPr>
          <w:p w14:paraId="490E6DB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000000"/>
                <w:kern w:val="2"/>
                <w:sz w:val="24"/>
                <w:szCs w:val="24"/>
                <w:u w:val="none"/>
                <w:lang w:eastAsia="zh-CN"/>
              </w:rPr>
            </w:pPr>
            <w:r>
              <w:rPr>
                <w:rFonts w:hint="eastAsia" w:ascii="仿宋" w:hAnsi="仿宋" w:eastAsia="仿宋" w:cs="仿宋"/>
                <w:i w:val="0"/>
                <w:iCs w:val="0"/>
                <w:color w:val="000000"/>
                <w:kern w:val="0"/>
                <w:sz w:val="24"/>
                <w:szCs w:val="24"/>
                <w:u w:val="none"/>
                <w:lang w:val="en-US" w:eastAsia="zh-CN" w:bidi="ar"/>
              </w:rPr>
              <w:t>含税合计</w:t>
            </w:r>
          </w:p>
        </w:tc>
        <w:tc>
          <w:tcPr>
            <w:tcW w:w="0" w:type="auto"/>
            <w:gridSpan w:val="5"/>
            <w:tcBorders>
              <w:top w:val="single" w:color="000000" w:sz="4" w:space="0"/>
              <w:left w:val="single" w:color="000000" w:sz="4" w:space="0"/>
              <w:bottom w:val="single" w:color="000000" w:sz="4" w:space="0"/>
              <w:right w:val="single" w:color="000000" w:sz="4" w:space="0"/>
            </w:tcBorders>
            <w:noWrap/>
            <w:vAlign w:val="center"/>
          </w:tcPr>
          <w:p w14:paraId="2D8D6EBA">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000000"/>
                <w:kern w:val="2"/>
                <w:sz w:val="24"/>
                <w:szCs w:val="24"/>
                <w:u w:val="none"/>
                <w:lang w:val="en-US" w:eastAsia="zh-CN"/>
              </w:rPr>
            </w:pPr>
          </w:p>
        </w:tc>
      </w:tr>
    </w:tbl>
    <w:p w14:paraId="7CB96D52">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本合同为固定综合单价合同，合同暂定总价为人民币</w:t>
      </w:r>
      <w:r>
        <w:rPr>
          <w:rFonts w:hint="eastAsia" w:ascii="仿宋" w:hAnsi="仿宋" w:eastAsia="仿宋" w:cs="仿宋"/>
          <w:i w:val="0"/>
          <w:iCs w:val="0"/>
          <w:color w:val="000000"/>
          <w:kern w:val="2"/>
          <w:sz w:val="24"/>
          <w:szCs w:val="24"/>
          <w:u w:val="single"/>
          <w:lang w:val="en-US" w:eastAsia="zh-CN"/>
        </w:rPr>
        <w:t xml:space="preserve">  </w:t>
      </w:r>
      <w:r>
        <w:rPr>
          <w:rFonts w:hint="eastAsia" w:ascii="仿宋" w:hAnsi="仿宋" w:eastAsia="仿宋"/>
          <w:kern w:val="2"/>
          <w:sz w:val="24"/>
          <w:szCs w:val="24"/>
          <w:lang w:eastAsia="zh-CN"/>
        </w:rPr>
        <w:t>元（大写：</w:t>
      </w:r>
      <w:r>
        <w:rPr>
          <w:rFonts w:hint="eastAsia" w:ascii="仿宋" w:hAnsi="仿宋" w:eastAsia="仿宋" w:cs="仿宋"/>
          <w:i w:val="0"/>
          <w:iCs w:val="0"/>
          <w:color w:val="000000"/>
          <w:kern w:val="0"/>
          <w:sz w:val="22"/>
          <w:szCs w:val="22"/>
          <w:u w:val="single"/>
          <w:lang w:val="en-US" w:eastAsia="zh-CN" w:bidi="ar"/>
        </w:rPr>
        <w:t xml:space="preserve">   </w:t>
      </w:r>
      <w:r>
        <w:rPr>
          <w:rFonts w:hint="eastAsia" w:ascii="仿宋" w:hAnsi="仿宋" w:eastAsia="仿宋"/>
          <w:kern w:val="2"/>
          <w:sz w:val="24"/>
          <w:szCs w:val="24"/>
          <w:lang w:eastAsia="zh-CN"/>
        </w:rPr>
        <w:t>），其中不含增值税总价</w:t>
      </w:r>
      <w:r>
        <w:rPr>
          <w:rFonts w:hint="eastAsia" w:ascii="仿宋" w:hAnsi="仿宋" w:eastAsia="仿宋" w:cs="仿宋"/>
          <w:i w:val="0"/>
          <w:iCs w:val="0"/>
          <w:color w:val="000000"/>
          <w:kern w:val="2"/>
          <w:sz w:val="24"/>
          <w:szCs w:val="24"/>
          <w:u w:val="single"/>
          <w:lang w:val="en-US" w:eastAsia="zh-CN"/>
        </w:rPr>
        <w:t xml:space="preserve">   </w:t>
      </w:r>
      <w:r>
        <w:rPr>
          <w:rFonts w:hint="eastAsia" w:ascii="仿宋" w:hAnsi="仿宋" w:eastAsia="仿宋"/>
          <w:kern w:val="2"/>
          <w:sz w:val="24"/>
          <w:szCs w:val="24"/>
          <w:lang w:eastAsia="zh-CN"/>
        </w:rPr>
        <w:t>元（大写：</w:t>
      </w:r>
      <w:r>
        <w:rPr>
          <w:rFonts w:hint="eastAsia" w:ascii="仿宋" w:hAnsi="仿宋" w:eastAsia="仿宋" w:cs="仿宋"/>
          <w:i w:val="0"/>
          <w:iCs w:val="0"/>
          <w:color w:val="000000"/>
          <w:kern w:val="0"/>
          <w:sz w:val="22"/>
          <w:szCs w:val="22"/>
          <w:u w:val="single"/>
          <w:lang w:val="en-US" w:eastAsia="zh-CN" w:bidi="ar"/>
        </w:rPr>
        <w:t xml:space="preserve">   </w:t>
      </w:r>
      <w:r>
        <w:rPr>
          <w:rFonts w:hint="eastAsia" w:ascii="仿宋" w:hAnsi="仿宋" w:eastAsia="仿宋"/>
          <w:kern w:val="2"/>
          <w:sz w:val="24"/>
          <w:szCs w:val="24"/>
          <w:lang w:eastAsia="zh-CN"/>
        </w:rPr>
        <w:t>），增值税</w:t>
      </w:r>
      <w:r>
        <w:rPr>
          <w:rFonts w:hint="eastAsia" w:ascii="仿宋" w:hAnsi="仿宋" w:eastAsia="仿宋" w:cs="仿宋"/>
          <w:i w:val="0"/>
          <w:iCs w:val="0"/>
          <w:color w:val="000000"/>
          <w:kern w:val="2"/>
          <w:sz w:val="24"/>
          <w:szCs w:val="24"/>
          <w:u w:val="single"/>
          <w:lang w:val="en-US" w:eastAsia="zh-CN"/>
        </w:rPr>
        <w:t xml:space="preserve">   </w:t>
      </w:r>
      <w:r>
        <w:rPr>
          <w:rFonts w:hint="eastAsia" w:ascii="仿宋" w:hAnsi="仿宋" w:eastAsia="仿宋"/>
          <w:kern w:val="2"/>
          <w:sz w:val="24"/>
          <w:szCs w:val="24"/>
          <w:lang w:eastAsia="zh-CN"/>
        </w:rPr>
        <w:t>元（大写：</w:t>
      </w:r>
      <w:r>
        <w:rPr>
          <w:rFonts w:hint="eastAsia" w:ascii="仿宋" w:hAnsi="仿宋" w:eastAsia="仿宋" w:cs="仿宋"/>
          <w:i w:val="0"/>
          <w:iCs w:val="0"/>
          <w:color w:val="000000"/>
          <w:kern w:val="0"/>
          <w:sz w:val="22"/>
          <w:szCs w:val="22"/>
          <w:u w:val="single"/>
          <w:lang w:val="en-US" w:eastAsia="zh-CN" w:bidi="ar"/>
        </w:rPr>
        <w:t xml:space="preserve">   </w:t>
      </w:r>
      <w:r>
        <w:rPr>
          <w:rFonts w:hint="eastAsia" w:ascii="仿宋" w:hAnsi="仿宋" w:eastAsia="仿宋"/>
          <w:kern w:val="2"/>
          <w:sz w:val="24"/>
          <w:szCs w:val="24"/>
          <w:lang w:eastAsia="zh-CN"/>
        </w:rPr>
        <w:t>），增值税按不含增值税总价的</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单列</w:t>
      </w:r>
      <w:r>
        <w:rPr>
          <w:rFonts w:hint="eastAsia" w:ascii="仿宋" w:hAnsi="仿宋" w:eastAsia="仿宋" w:cs="宋体"/>
          <w:b w:val="0"/>
          <w:bCs/>
          <w:kern w:val="2"/>
          <w:sz w:val="24"/>
          <w:szCs w:val="24"/>
          <w:lang w:eastAsia="zh-CN"/>
        </w:rPr>
        <w:t>（增值税税率随国家政策和适用税率同步调整）</w:t>
      </w:r>
      <w:r>
        <w:rPr>
          <w:rFonts w:hint="eastAsia" w:ascii="仿宋" w:hAnsi="仿宋" w:eastAsia="仿宋"/>
          <w:kern w:val="2"/>
          <w:sz w:val="24"/>
          <w:szCs w:val="24"/>
          <w:lang w:eastAsia="zh-CN"/>
        </w:rPr>
        <w:t>；本合同暂定总价不作为双方最终结算的依据。</w:t>
      </w:r>
    </w:p>
    <w:p w14:paraId="66079330">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注：（1）表中所列“需求数量”为暂定数量，实际供应数量以项目部签收核实为准，当甲方实际需求数量不足表中数量时，乙方不得以需求不足向甲方进行索偿；材料验收合格后由双方验收人员在送货单、材料签收单上签字。每月材料对账根据甲乙双方材料验收人员签字的单据经行汇总，对账汇总表甲乙双方必须加盖公章及签名确认，甲方签名确认为项目经理。最终结算以双方签名加盖公章的汇总表为准。</w:t>
      </w:r>
    </w:p>
    <w:p w14:paraId="31EBA850">
      <w:pPr>
        <w:framePr w:wrap="auto" w:vAnchor="margin" w:hAnchor="text" w:yAlign="inline"/>
        <w:widowControl w:val="0"/>
        <w:snapToGrid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 综合单价为砂石料运至施工现场的车板交货综合单价，包括但不限于</w:t>
      </w:r>
      <w:r>
        <w:rPr>
          <w:rFonts w:hint="eastAsia" w:ascii="仿宋" w:hAnsi="仿宋" w:eastAsia="仿宋"/>
          <w:bCs/>
          <w:kern w:val="2"/>
          <w:sz w:val="24"/>
          <w:szCs w:val="24"/>
          <w:lang w:eastAsia="zh-CN"/>
        </w:rPr>
        <w:t>原材料价</w:t>
      </w:r>
      <w:r>
        <w:rPr>
          <w:rFonts w:hint="eastAsia" w:ascii="仿宋" w:hAnsi="仿宋" w:eastAsia="仿宋"/>
          <w:kern w:val="2"/>
          <w:sz w:val="24"/>
          <w:szCs w:val="24"/>
          <w:lang w:eastAsia="zh-CN"/>
        </w:rPr>
        <w:t>、运输、砂石料加工成本、乙方拟获得的利润、除增值税以外的一切税费(为实施本合同应缴纳的企业所得税、个人所得税、印花税、资源税 、城市维护建设税、教育费附加、地方教育附加、堤围防护费等一切税费)等；以及施工点安全维护、保证自身人员安全设施的费用。</w:t>
      </w:r>
    </w:p>
    <w:p w14:paraId="03821FA2">
      <w:pPr>
        <w:framePr w:wrap="auto" w:vAnchor="margin" w:hAnchor="text" w:yAlign="inline"/>
        <w:widowControl w:val="0"/>
        <w:snapToGrid w:val="0"/>
        <w:spacing w:line="360" w:lineRule="auto"/>
        <w:ind w:firstLine="480" w:firstLineChars="200"/>
        <w:jc w:val="both"/>
        <w:rPr>
          <w:rFonts w:hint="eastAsia" w:ascii="仿宋" w:hAnsi="仿宋" w:eastAsia="仿宋"/>
          <w:kern w:val="2"/>
          <w:sz w:val="24"/>
          <w:szCs w:val="24"/>
          <w:u w:val="single"/>
          <w:lang w:eastAsia="zh-CN"/>
        </w:rPr>
      </w:pPr>
      <w:r>
        <w:rPr>
          <w:rFonts w:hint="eastAsia" w:ascii="仿宋" w:hAnsi="仿宋" w:eastAsia="仿宋"/>
          <w:kern w:val="2"/>
          <w:sz w:val="24"/>
          <w:szCs w:val="24"/>
          <w:lang w:eastAsia="zh-CN"/>
        </w:rPr>
        <w:t>（3）综合单价中的“原材料价”和/或“运输”在供应期内</w:t>
      </w:r>
      <w:r>
        <w:rPr>
          <w:rFonts w:hint="eastAsia" w:ascii="仿宋" w:hAnsi="仿宋" w:eastAsia="仿宋"/>
          <w:kern w:val="2"/>
          <w:sz w:val="24"/>
          <w:szCs w:val="24"/>
          <w:u w:val="single"/>
          <w:lang w:eastAsia="zh-CN"/>
        </w:rPr>
        <w:t>执行“不变价格”。</w:t>
      </w:r>
    </w:p>
    <w:p w14:paraId="458E1696">
      <w:pPr>
        <w:framePr w:wrap="auto" w:vAnchor="margin" w:hAnchor="text" w:yAlign="inline"/>
        <w:widowControl w:val="0"/>
        <w:snapToGrid w:val="0"/>
        <w:spacing w:line="360" w:lineRule="auto"/>
        <w:ind w:left="960" w:hanging="960" w:hangingChars="400"/>
        <w:jc w:val="both"/>
        <w:rPr>
          <w:rFonts w:hint="eastAsia" w:ascii="仿宋" w:hAnsi="仿宋" w:eastAsia="仿宋"/>
          <w:bCs/>
          <w:kern w:val="2"/>
          <w:sz w:val="24"/>
          <w:szCs w:val="24"/>
          <w:lang w:eastAsia="zh-CN"/>
        </w:rPr>
      </w:pPr>
      <w:r>
        <w:rPr>
          <w:rFonts w:hint="eastAsia" w:ascii="仿宋" w:hAnsi="仿宋" w:eastAsia="仿宋"/>
          <w:bCs/>
          <w:kern w:val="2"/>
          <w:sz w:val="24"/>
          <w:szCs w:val="24"/>
          <w:lang w:eastAsia="zh-CN"/>
        </w:rPr>
        <w:t>说明：</w:t>
      </w:r>
      <w:r>
        <w:rPr>
          <w:rFonts w:hint="eastAsia" w:ascii="仿宋" w:hAnsi="仿宋" w:eastAsia="仿宋"/>
          <w:bCs/>
          <w:kern w:val="2"/>
          <w:sz w:val="24"/>
          <w:szCs w:val="24"/>
          <w:lang w:eastAsia="zh-CN"/>
        </w:rPr>
        <w:sym w:font="Wingdings" w:char="F081"/>
      </w:r>
      <w:r>
        <w:rPr>
          <w:rFonts w:hint="eastAsia" w:ascii="仿宋" w:hAnsi="仿宋" w:eastAsia="仿宋"/>
          <w:bCs/>
          <w:kern w:val="2"/>
          <w:sz w:val="24"/>
          <w:szCs w:val="24"/>
          <w:lang w:eastAsia="zh-CN"/>
        </w:rPr>
        <w:t xml:space="preserve"> 表中“材料名称”可以为“各种规格的砂、机制砂石料及灰砂砖，反击破碎石”；</w:t>
      </w:r>
    </w:p>
    <w:p w14:paraId="70FF3D09">
      <w:pPr>
        <w:framePr w:wrap="auto" w:vAnchor="margin" w:hAnchor="text" w:yAlign="inline"/>
        <w:widowControl w:val="0"/>
        <w:snapToGrid w:val="0"/>
        <w:spacing w:line="360" w:lineRule="auto"/>
        <w:ind w:left="960" w:hanging="960" w:hangingChars="400"/>
        <w:jc w:val="both"/>
        <w:rPr>
          <w:rFonts w:hint="eastAsia" w:ascii="仿宋" w:hAnsi="仿宋" w:eastAsia="仿宋"/>
          <w:bCs/>
          <w:kern w:val="2"/>
          <w:sz w:val="24"/>
          <w:szCs w:val="24"/>
          <w:lang w:eastAsia="zh-CN"/>
        </w:rPr>
      </w:pPr>
      <w:r>
        <w:rPr>
          <w:rFonts w:hint="eastAsia" w:ascii="仿宋" w:hAnsi="仿宋" w:eastAsia="仿宋"/>
          <w:bCs/>
          <w:kern w:val="2"/>
          <w:sz w:val="24"/>
          <w:szCs w:val="24"/>
          <w:lang w:eastAsia="zh-CN"/>
        </w:rPr>
        <w:t xml:space="preserve">      </w:t>
      </w:r>
      <w:r>
        <w:rPr>
          <w:rFonts w:hint="eastAsia" w:ascii="仿宋" w:hAnsi="仿宋" w:eastAsia="仿宋"/>
          <w:bCs/>
          <w:kern w:val="2"/>
          <w:sz w:val="24"/>
          <w:szCs w:val="24"/>
          <w:lang w:eastAsia="zh-CN"/>
        </w:rPr>
        <w:sym w:font="Wingdings" w:char="F082"/>
      </w:r>
      <w:r>
        <w:rPr>
          <w:rFonts w:hint="eastAsia" w:ascii="仿宋" w:hAnsi="仿宋" w:eastAsia="仿宋"/>
          <w:bCs/>
          <w:kern w:val="2"/>
          <w:sz w:val="24"/>
          <w:szCs w:val="24"/>
          <w:lang w:eastAsia="zh-CN"/>
        </w:rPr>
        <w:t xml:space="preserve"> 表中“单位”可以为“方”。</w:t>
      </w:r>
    </w:p>
    <w:p w14:paraId="42FD811D">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第二条  供货模式</w:t>
      </w:r>
    </w:p>
    <w:p w14:paraId="2B892B7A">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1、乙方根据甲方项目部对砂石料需求的要求（包括但不限于规格、质量、数量、备料时间等），将砂石料从货源地运往（或加工后运往）甲方指定地分档堆放；</w:t>
      </w:r>
    </w:p>
    <w:p w14:paraId="52CCFD4D">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2、实际供应数量的确认方式：</w:t>
      </w:r>
    </w:p>
    <w:p w14:paraId="18E9A818">
      <w:pPr>
        <w:framePr w:wrap="auto" w:vAnchor="margin" w:hAnchor="text" w:yAlign="inline"/>
        <w:widowControl w:val="0"/>
        <w:spacing w:line="360" w:lineRule="auto"/>
        <w:ind w:firstLine="480" w:firstLineChars="200"/>
        <w:jc w:val="both"/>
        <w:rPr>
          <w:rFonts w:hint="eastAsia" w:ascii="仿宋" w:hAnsi="仿宋" w:eastAsia="仿宋"/>
          <w:color w:val="FF0000"/>
          <w:kern w:val="2"/>
          <w:sz w:val="24"/>
          <w:szCs w:val="24"/>
          <w:u w:val="single"/>
          <w:lang w:eastAsia="zh-CN"/>
        </w:rPr>
      </w:pPr>
      <w:r>
        <w:rPr>
          <w:rFonts w:hint="eastAsia" w:ascii="仿宋" w:hAnsi="仿宋" w:eastAsia="仿宋"/>
          <w:kern w:val="2"/>
          <w:sz w:val="24"/>
          <w:szCs w:val="24"/>
          <w:lang w:eastAsia="zh-CN"/>
        </w:rPr>
        <w:t>砂石料及灰砂砖的数量最终数量确认按甲方实际确认验收的数量为准，数量确认需双方共同签认；</w:t>
      </w:r>
    </w:p>
    <w:p w14:paraId="34CC4E2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3、为完成砂石料及灰砂砖堆放而需在甲方项目进行的驻地建设、搭建临时设施、便道等由甲方负责；</w:t>
      </w:r>
    </w:p>
    <w:p w14:paraId="3BA9AA8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4、为满足甲方砂石料及灰砂砖规格要求而需对砂石料及灰砂砖进行反击破加工、整型加工所需的场地、设备、人员、运输等投入由乙方负责；</w:t>
      </w:r>
    </w:p>
    <w:p w14:paraId="024E98DA">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5、乙方并非甲方本项目工程材料的唯一供应商，本合同不影响甲方向其他供应商采购本项目工程所需任何材料，包括本合同供应协商终止前，甲方向其他砂石料供应商采购；</w:t>
      </w:r>
    </w:p>
    <w:p w14:paraId="300C31B3">
      <w:pPr>
        <w:framePr w:wrap="auto" w:vAnchor="margin" w:hAnchor="text" w:yAlign="inline"/>
        <w:widowControl w:val="0"/>
        <w:tabs>
          <w:tab w:val="left" w:pos="1260"/>
        </w:tabs>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6、甲方有权根据工程的实际情况调整货物的实际需求总量和工期，不论增加或减少都不对合同的单价和其它条款做任何改变。如因工程设计变更而导致货物数量的增减，甲方有权要求乙方在单价或其它条款不变的前提下予以承认。</w:t>
      </w:r>
    </w:p>
    <w:p w14:paraId="298E16D4">
      <w:pPr>
        <w:framePr w:wrap="auto" w:vAnchor="margin" w:hAnchor="text" w:yAlign="inline"/>
        <w:widowControl w:val="0"/>
        <w:autoSpaceDE w:val="0"/>
        <w:autoSpaceDN w:val="0"/>
        <w:spacing w:line="360" w:lineRule="auto"/>
        <w:ind w:firstLine="482" w:firstLineChars="200"/>
        <w:jc w:val="both"/>
        <w:rPr>
          <w:rFonts w:hint="eastAsia" w:ascii="仿宋" w:hAnsi="仿宋" w:eastAsia="仿宋"/>
          <w:b/>
          <w:kern w:val="2"/>
          <w:sz w:val="24"/>
          <w:szCs w:val="24"/>
          <w:lang w:val="zh-CN" w:eastAsia="zh-CN"/>
        </w:rPr>
      </w:pPr>
      <w:r>
        <w:rPr>
          <w:rFonts w:hint="eastAsia" w:ascii="仿宋" w:hAnsi="仿宋" w:eastAsia="仿宋"/>
          <w:b/>
          <w:bCs/>
          <w:kern w:val="2"/>
          <w:sz w:val="24"/>
          <w:szCs w:val="24"/>
          <w:lang w:eastAsia="zh-CN"/>
        </w:rPr>
        <w:t>第三条  砂石料的检测与验收</w:t>
      </w:r>
    </w:p>
    <w:p w14:paraId="38D81798">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val="zh-CN" w:eastAsia="zh-CN"/>
        </w:rPr>
      </w:pPr>
      <w:r>
        <w:rPr>
          <w:rFonts w:hint="eastAsia" w:ascii="仿宋" w:hAnsi="仿宋" w:eastAsia="仿宋"/>
          <w:kern w:val="2"/>
          <w:sz w:val="24"/>
          <w:szCs w:val="24"/>
          <w:lang w:eastAsia="zh-CN"/>
        </w:rPr>
        <w:t>1、乙方签订本合同</w:t>
      </w:r>
      <w:r>
        <w:rPr>
          <w:rFonts w:hint="eastAsia" w:ascii="仿宋" w:hAnsi="仿宋" w:eastAsia="仿宋"/>
          <w:kern w:val="2"/>
          <w:sz w:val="24"/>
          <w:szCs w:val="24"/>
          <w:lang w:val="en-US" w:eastAsia="zh-CN"/>
        </w:rPr>
        <w:t>后</w:t>
      </w:r>
      <w:r>
        <w:rPr>
          <w:rFonts w:hint="eastAsia" w:ascii="仿宋" w:hAnsi="仿宋" w:eastAsia="仿宋"/>
          <w:kern w:val="2"/>
          <w:sz w:val="24"/>
          <w:szCs w:val="24"/>
          <w:lang w:eastAsia="zh-CN"/>
        </w:rPr>
        <w:t>，必须向甲方提供拟供应砂石料及灰砂砖场中甲方所需的各种规格砂石料及灰砂砖样本给甲方检验；</w:t>
      </w:r>
    </w:p>
    <w:p w14:paraId="75C44DCE">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val="zh-CN" w:eastAsia="zh-CN"/>
        </w:rPr>
        <w:t>2、砂石料及灰砂砖的</w:t>
      </w:r>
      <w:r>
        <w:rPr>
          <w:rFonts w:hint="eastAsia" w:ascii="仿宋" w:hAnsi="仿宋" w:eastAsia="仿宋"/>
          <w:kern w:val="2"/>
          <w:sz w:val="24"/>
          <w:szCs w:val="24"/>
          <w:lang w:eastAsia="zh-CN"/>
        </w:rPr>
        <w:t>现场数量验收应由运输车辆司机或乙方所派的指定人员、甲方的专职材料员、质检员共同参与。验收时，验收人员应仔细核对每车砂石料及灰砂砖的运送单（来源地、规格、数量），抽检样本，并作相应记录；如发现情况异常，验收人员有权拒绝卸货，因此造成的损失由乙方负责。材料验收后由验收人员在材料运送单上签名并加盖项目部材料专用印章确认；</w:t>
      </w:r>
    </w:p>
    <w:p w14:paraId="2BA092D3">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3、甲方指定收货人：</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 xml:space="preserve"> ，联系电话：</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 xml:space="preserve"> ；甲方收货联系人仅有权对乙方送货单中的数量予以确认，无权对货物价款以及最终结算单进行确认。</w:t>
      </w:r>
    </w:p>
    <w:p w14:paraId="54E6940F">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乙方发货联系人：</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 xml:space="preserve"> ，联系电话：</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 xml:space="preserve"> ；乙方须将货物运至交货地点交甲方联系人签收确认方为有效。非本合同约定甲方联系人签收的送货单，视为甲方未收到相应货物，对甲方不具有效力。</w:t>
      </w:r>
    </w:p>
    <w:p w14:paraId="52166F91">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甲乙双方各自委派的</w:t>
      </w:r>
      <w:r>
        <w:rPr>
          <w:rFonts w:hint="eastAsia" w:ascii="仿宋" w:hAnsi="仿宋" w:eastAsia="仿宋"/>
          <w:kern w:val="2"/>
          <w:sz w:val="24"/>
          <w:szCs w:val="24"/>
          <w:lang w:val="zh-CN" w:eastAsia="zh-CN"/>
        </w:rPr>
        <w:t>材料签收人员应以公函形式通知对方，如果一方签收人员发生变更时，应及时用公函形式通知对方作相应的更改；</w:t>
      </w:r>
      <w:r>
        <w:rPr>
          <w:rFonts w:hint="eastAsia" w:ascii="仿宋" w:hAnsi="仿宋" w:eastAsia="仿宋"/>
          <w:kern w:val="2"/>
          <w:sz w:val="24"/>
          <w:szCs w:val="24"/>
          <w:lang w:val="en-US" w:eastAsia="zh-CN"/>
        </w:rPr>
        <w:t>此</w:t>
      </w:r>
      <w:r>
        <w:rPr>
          <w:rFonts w:hint="eastAsia" w:ascii="仿宋" w:hAnsi="仿宋" w:eastAsia="仿宋"/>
          <w:kern w:val="2"/>
          <w:sz w:val="24"/>
          <w:szCs w:val="24"/>
          <w:lang w:val="zh-CN" w:eastAsia="zh-CN"/>
        </w:rPr>
        <w:t>部分往来所产生的公函，应作为本合同的组成部分；</w:t>
      </w:r>
    </w:p>
    <w:p w14:paraId="59187C90">
      <w:pPr>
        <w:framePr w:wrap="auto" w:vAnchor="margin" w:hAnchor="text" w:yAlign="inline"/>
        <w:widowControl w:val="0"/>
        <w:autoSpaceDE w:val="0"/>
        <w:autoSpaceDN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val="zh-CN" w:eastAsia="zh-CN"/>
        </w:rPr>
        <w:t>4、砂石料及灰砂砖</w:t>
      </w:r>
      <w:r>
        <w:rPr>
          <w:rFonts w:hint="eastAsia" w:ascii="仿宋" w:hAnsi="仿宋" w:eastAsia="仿宋"/>
          <w:kern w:val="2"/>
          <w:sz w:val="24"/>
          <w:szCs w:val="24"/>
          <w:lang w:eastAsia="zh-CN"/>
        </w:rPr>
        <w:t>进场后，甲方按有关规范抽检，检验费用由</w:t>
      </w:r>
      <w:r>
        <w:rPr>
          <w:rFonts w:hint="eastAsia" w:ascii="仿宋" w:hAnsi="仿宋" w:eastAsia="仿宋"/>
          <w:kern w:val="2"/>
          <w:sz w:val="24"/>
          <w:szCs w:val="24"/>
          <w:lang w:val="zh-CN" w:eastAsia="zh-CN"/>
        </w:rPr>
        <w:t>甲方</w:t>
      </w:r>
      <w:r>
        <w:rPr>
          <w:rFonts w:hint="eastAsia" w:ascii="仿宋" w:hAnsi="仿宋" w:eastAsia="仿宋"/>
          <w:kern w:val="2"/>
          <w:sz w:val="24"/>
          <w:szCs w:val="24"/>
          <w:lang w:eastAsia="zh-CN"/>
        </w:rPr>
        <w:t>负责。</w:t>
      </w:r>
      <w:r>
        <w:rPr>
          <w:rFonts w:hint="eastAsia" w:ascii="仿宋" w:hAnsi="仿宋" w:eastAsia="仿宋"/>
          <w:kern w:val="2"/>
          <w:sz w:val="24"/>
          <w:szCs w:val="24"/>
          <w:lang w:val="zh-CN" w:eastAsia="zh-CN"/>
        </w:rPr>
        <w:t>甲方</w:t>
      </w:r>
      <w:r>
        <w:rPr>
          <w:rFonts w:hint="eastAsia" w:ascii="仿宋" w:hAnsi="仿宋" w:eastAsia="仿宋"/>
          <w:kern w:val="2"/>
          <w:sz w:val="24"/>
          <w:szCs w:val="24"/>
          <w:lang w:eastAsia="zh-CN"/>
        </w:rPr>
        <w:t>如</w:t>
      </w:r>
      <w:r>
        <w:rPr>
          <w:rFonts w:hint="eastAsia" w:ascii="仿宋" w:hAnsi="仿宋" w:eastAsia="仿宋"/>
          <w:kern w:val="2"/>
          <w:sz w:val="24"/>
          <w:szCs w:val="24"/>
          <w:lang w:val="zh-CN" w:eastAsia="zh-CN"/>
        </w:rPr>
        <w:t>对材料质量有异议，应</w:t>
      </w:r>
      <w:r>
        <w:rPr>
          <w:rFonts w:hint="eastAsia" w:ascii="仿宋" w:hAnsi="仿宋" w:eastAsia="仿宋"/>
          <w:kern w:val="2"/>
          <w:sz w:val="24"/>
          <w:szCs w:val="24"/>
          <w:lang w:eastAsia="zh-CN"/>
        </w:rPr>
        <w:t>以</w:t>
      </w:r>
      <w:r>
        <w:rPr>
          <w:rFonts w:hint="eastAsia" w:ascii="仿宋" w:hAnsi="仿宋" w:eastAsia="仿宋"/>
          <w:kern w:val="2"/>
          <w:sz w:val="24"/>
          <w:szCs w:val="24"/>
          <w:lang w:val="en-US" w:eastAsia="zh-CN"/>
        </w:rPr>
        <w:t>有相关检测资质的第三方机构检测</w:t>
      </w:r>
      <w:r>
        <w:rPr>
          <w:rFonts w:hint="eastAsia" w:ascii="仿宋" w:hAnsi="仿宋" w:eastAsia="仿宋"/>
          <w:kern w:val="2"/>
          <w:sz w:val="24"/>
          <w:szCs w:val="24"/>
          <w:lang w:eastAsia="zh-CN"/>
        </w:rPr>
        <w:t>的报告为最终结果</w:t>
      </w:r>
      <w:r>
        <w:rPr>
          <w:rFonts w:hint="eastAsia" w:ascii="仿宋" w:hAnsi="仿宋" w:eastAsia="仿宋"/>
          <w:kern w:val="2"/>
          <w:sz w:val="24"/>
          <w:szCs w:val="24"/>
          <w:lang w:val="zh-CN" w:eastAsia="zh-CN"/>
        </w:rPr>
        <w:t>，如属质量不合格</w:t>
      </w:r>
      <w:r>
        <w:rPr>
          <w:rFonts w:hint="eastAsia" w:ascii="仿宋" w:hAnsi="仿宋" w:eastAsia="仿宋"/>
          <w:kern w:val="2"/>
          <w:sz w:val="24"/>
          <w:szCs w:val="24"/>
          <w:lang w:eastAsia="zh-CN"/>
        </w:rPr>
        <w:t>，乙方应承担检测费，并将不合格材料清运走；因材料质量造成甲方返工的，乙方应承担由此给甲方带来的返工损失，甲方保留向乙方追索的权利；</w:t>
      </w:r>
    </w:p>
    <w:p w14:paraId="48DB826E">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 xml:space="preserve">第四条  计量与支付 </w:t>
      </w:r>
    </w:p>
    <w:p w14:paraId="4BF932D6">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 xml:space="preserve">1、根据本合同第二条第2款确定的供货模式，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 </w:t>
      </w:r>
    </w:p>
    <w:p w14:paraId="55BCF7F3">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2、结算期的确定：</w:t>
      </w:r>
    </w:p>
    <w:p w14:paraId="00E804B3">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（1）本项目以“结算月”或“自然月”为结算期，即：每月</w:t>
      </w:r>
      <w:r>
        <w:rPr>
          <w:rFonts w:hint="eastAsia" w:ascii="仿宋" w:hAnsi="仿宋" w:eastAsia="仿宋"/>
          <w:color w:val="000000"/>
          <w:kern w:val="2"/>
          <w:sz w:val="24"/>
          <w:szCs w:val="24"/>
          <w:u w:val="single"/>
          <w:lang w:eastAsia="zh-CN"/>
        </w:rPr>
        <w:t xml:space="preserve"> </w:t>
      </w:r>
      <w:r>
        <w:rPr>
          <w:rFonts w:hint="eastAsia" w:ascii="仿宋" w:hAnsi="仿宋" w:eastAsia="仿宋"/>
          <w:color w:val="000000"/>
          <w:kern w:val="2"/>
          <w:sz w:val="24"/>
          <w:szCs w:val="24"/>
          <w:u w:val="single"/>
          <w:lang w:val="en-US" w:eastAsia="zh-CN"/>
        </w:rPr>
        <w:t xml:space="preserve">  </w:t>
      </w:r>
      <w:r>
        <w:rPr>
          <w:rFonts w:hint="eastAsia" w:ascii="仿宋" w:hAnsi="仿宋" w:eastAsia="仿宋"/>
          <w:color w:val="000000"/>
          <w:kern w:val="2"/>
          <w:sz w:val="24"/>
          <w:szCs w:val="24"/>
          <w:u w:val="single"/>
          <w:lang w:eastAsia="zh-CN"/>
        </w:rPr>
        <w:t xml:space="preserve"> </w:t>
      </w:r>
      <w:r>
        <w:rPr>
          <w:rFonts w:hint="eastAsia" w:ascii="仿宋" w:hAnsi="仿宋" w:eastAsia="仿宋"/>
          <w:color w:val="000000"/>
          <w:kern w:val="2"/>
          <w:sz w:val="24"/>
          <w:szCs w:val="24"/>
          <w:lang w:eastAsia="zh-CN"/>
        </w:rPr>
        <w:t>日至下月</w:t>
      </w:r>
      <w:r>
        <w:rPr>
          <w:rFonts w:hint="eastAsia" w:ascii="仿宋" w:hAnsi="仿宋" w:eastAsia="仿宋"/>
          <w:color w:val="000000"/>
          <w:kern w:val="2"/>
          <w:sz w:val="24"/>
          <w:szCs w:val="24"/>
          <w:u w:val="single"/>
          <w:lang w:eastAsia="zh-CN"/>
        </w:rPr>
        <w:t xml:space="preserve"> </w:t>
      </w:r>
      <w:r>
        <w:rPr>
          <w:rFonts w:hint="eastAsia" w:ascii="仿宋" w:hAnsi="仿宋" w:eastAsia="仿宋"/>
          <w:color w:val="000000"/>
          <w:kern w:val="2"/>
          <w:sz w:val="24"/>
          <w:szCs w:val="24"/>
          <w:u w:val="single"/>
          <w:lang w:val="en-US" w:eastAsia="zh-CN"/>
        </w:rPr>
        <w:t xml:space="preserve">  </w:t>
      </w:r>
      <w:bookmarkStart w:id="21" w:name="_GoBack"/>
      <w:bookmarkEnd w:id="21"/>
      <w:r>
        <w:rPr>
          <w:rFonts w:hint="eastAsia" w:ascii="仿宋" w:hAnsi="仿宋" w:eastAsia="仿宋"/>
          <w:color w:val="000000"/>
          <w:kern w:val="2"/>
          <w:sz w:val="24"/>
          <w:szCs w:val="24"/>
          <w:u w:val="single"/>
          <w:lang w:eastAsia="zh-CN"/>
        </w:rPr>
        <w:t xml:space="preserve"> </w:t>
      </w:r>
      <w:r>
        <w:rPr>
          <w:rFonts w:hint="eastAsia" w:ascii="仿宋" w:hAnsi="仿宋" w:eastAsia="仿宋"/>
          <w:color w:val="000000"/>
          <w:kern w:val="2"/>
          <w:sz w:val="24"/>
          <w:szCs w:val="24"/>
          <w:lang w:eastAsia="zh-CN"/>
        </w:rPr>
        <w:t>日为一个结算期，双方办理材料结算，并签订结算书；</w:t>
      </w:r>
    </w:p>
    <w:p w14:paraId="1BE90681">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3、款项支付：</w:t>
      </w:r>
    </w:p>
    <w:p w14:paraId="62D3926E">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（1）无论本合同其他条款约定的甲方向乙方支付货款的期限是否届满，甲方在收到业主支付的备料款（或工程款）前无义务向乙方垫付相应部分货款；</w:t>
      </w:r>
    </w:p>
    <w:p w14:paraId="1F276343">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（2）甲乙双方应及时对每期计量结算进行确认，甲方无义务向乙方垫付或预付双方已确认结算量之外的货款；</w:t>
      </w:r>
    </w:p>
    <w:p w14:paraId="7FE9E6C7">
      <w:pPr>
        <w:framePr w:wrap="auto" w:vAnchor="margin" w:hAnchor="text" w:yAlign="inline"/>
        <w:widowControl w:val="0"/>
        <w:spacing w:line="360" w:lineRule="auto"/>
        <w:ind w:firstLine="480" w:firstLineChars="200"/>
        <w:jc w:val="both"/>
        <w:rPr>
          <w:rFonts w:hint="eastAsia" w:ascii="仿宋" w:hAnsi="仿宋" w:eastAsia="仿宋"/>
          <w:color w:val="000000"/>
          <w:kern w:val="2"/>
          <w:sz w:val="24"/>
          <w:szCs w:val="24"/>
          <w:lang w:eastAsia="zh-CN"/>
        </w:rPr>
      </w:pPr>
      <w:r>
        <w:rPr>
          <w:rFonts w:hint="eastAsia" w:ascii="仿宋" w:hAnsi="仿宋" w:eastAsia="仿宋"/>
          <w:color w:val="000000"/>
          <w:kern w:val="2"/>
          <w:sz w:val="24"/>
          <w:szCs w:val="24"/>
          <w:lang w:eastAsia="zh-CN"/>
        </w:rPr>
        <w:t>（3）本合同涉及的所有计量支付均由甲方支付到乙方在合同约定的银行账户，无特殊情况下，甲方不接受乙方提供的任何第三方</w:t>
      </w:r>
      <w:r>
        <w:rPr>
          <w:rFonts w:hint="eastAsia" w:ascii="仿宋" w:hAnsi="仿宋" w:eastAsia="仿宋"/>
          <w:color w:val="000000"/>
          <w:kern w:val="2"/>
          <w:sz w:val="24"/>
          <w:szCs w:val="24"/>
          <w:lang w:val="en-US" w:eastAsia="zh-CN"/>
        </w:rPr>
        <w:t>收款</w:t>
      </w:r>
      <w:r>
        <w:rPr>
          <w:rFonts w:hint="eastAsia" w:ascii="仿宋" w:hAnsi="仿宋" w:eastAsia="仿宋"/>
          <w:color w:val="000000"/>
          <w:kern w:val="2"/>
          <w:sz w:val="24"/>
          <w:szCs w:val="24"/>
          <w:lang w:eastAsia="zh-CN"/>
        </w:rPr>
        <w:t>银行账户或委托</w:t>
      </w:r>
      <w:r>
        <w:rPr>
          <w:rFonts w:hint="eastAsia" w:ascii="仿宋" w:hAnsi="仿宋" w:eastAsia="仿宋"/>
          <w:color w:val="000000"/>
          <w:kern w:val="2"/>
          <w:sz w:val="24"/>
          <w:szCs w:val="24"/>
          <w:lang w:val="en-US" w:eastAsia="zh-CN"/>
        </w:rPr>
        <w:t>收款</w:t>
      </w:r>
      <w:r>
        <w:rPr>
          <w:rFonts w:hint="eastAsia" w:ascii="仿宋" w:hAnsi="仿宋" w:eastAsia="仿宋"/>
          <w:color w:val="000000"/>
          <w:kern w:val="2"/>
          <w:sz w:val="24"/>
          <w:szCs w:val="24"/>
          <w:lang w:eastAsia="zh-CN"/>
        </w:rPr>
        <w:t>；</w:t>
      </w:r>
    </w:p>
    <w:p w14:paraId="0293DC7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color w:val="000000"/>
          <w:kern w:val="2"/>
          <w:sz w:val="24"/>
          <w:szCs w:val="24"/>
          <w:lang w:eastAsia="zh-CN"/>
        </w:rPr>
        <w:t>（4）</w:t>
      </w:r>
      <w:r>
        <w:rPr>
          <w:rFonts w:hint="eastAsia" w:ascii="仿宋" w:hAnsi="仿宋" w:eastAsia="仿宋"/>
          <w:kern w:val="2"/>
          <w:sz w:val="24"/>
          <w:szCs w:val="24"/>
          <w:lang w:eastAsia="zh-CN"/>
        </w:rPr>
        <w:t>乙方同意甲方根据管理需要选择银行转账、支票或供应链金融等方式支付计量款项；</w:t>
      </w:r>
    </w:p>
    <w:p w14:paraId="4692137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本合同价的</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53E45387">
      <w:pPr>
        <w:framePr w:wrap="auto" w:vAnchor="margin" w:hAnchor="text" w:yAlign="inline"/>
        <w:widowControl w:val="0"/>
        <w:numPr>
          <w:ilvl w:val="0"/>
          <w:numId w:val="3"/>
        </w:numPr>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款项支付比例：</w:t>
      </w:r>
    </w:p>
    <w:p w14:paraId="56FB9697">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每期结算支付的材料款的比例为</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%，即甲方在双方办理当期结算并签订结算书后支付当期材料款项的</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%。在甲方工程项目</w:t>
      </w:r>
      <w:r>
        <w:rPr>
          <w:rFonts w:hint="eastAsia" w:ascii="仿宋" w:hAnsi="仿宋" w:eastAsia="仿宋"/>
          <w:kern w:val="2"/>
          <w:sz w:val="24"/>
          <w:szCs w:val="24"/>
          <w:lang w:val="en-US" w:eastAsia="zh-CN"/>
        </w:rPr>
        <w:t>完</w:t>
      </w:r>
      <w:r>
        <w:rPr>
          <w:rFonts w:hint="eastAsia" w:ascii="仿宋" w:hAnsi="仿宋" w:eastAsia="仿宋"/>
          <w:kern w:val="2"/>
          <w:sz w:val="24"/>
          <w:szCs w:val="24"/>
          <w:lang w:eastAsia="zh-CN"/>
        </w:rPr>
        <w:t>工验收后三个月内且甲乙双方办理最终结算后（以时间后者为准）支付剩余材料款项至乙方。</w:t>
      </w:r>
    </w:p>
    <w:p w14:paraId="392720B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在</w:t>
      </w:r>
      <w:r>
        <w:rPr>
          <w:rFonts w:hint="eastAsia" w:ascii="仿宋" w:hAnsi="仿宋" w:eastAsia="仿宋"/>
          <w:kern w:val="2"/>
          <w:sz w:val="24"/>
          <w:szCs w:val="24"/>
          <w:lang w:val="en-US" w:eastAsia="zh-CN"/>
        </w:rPr>
        <w:t>竣工</w:t>
      </w:r>
      <w:r>
        <w:rPr>
          <w:rFonts w:hint="eastAsia" w:ascii="仿宋" w:hAnsi="仿宋" w:eastAsia="仿宋"/>
          <w:kern w:val="2"/>
          <w:sz w:val="24"/>
          <w:szCs w:val="24"/>
          <w:lang w:eastAsia="zh-CN"/>
        </w:rPr>
        <w:t>验收前因砂石质量问题而需对工程进行修复所发生的费用及违约金、处罚等，甲方有权在应付款项中做相应扣款，如仍不能弥补甲方损失的，甲方可对乙方进行追偿；</w:t>
      </w:r>
    </w:p>
    <w:p w14:paraId="2DE3913B">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5、乙方至少应有</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万元以上的垫付能力，以确保甲方资金周转困难时，乙方能保证砂石料的正常供应；</w:t>
      </w:r>
    </w:p>
    <w:p w14:paraId="5D136EE1">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6、材料数量以</w:t>
      </w:r>
      <w:r>
        <w:rPr>
          <w:rFonts w:hint="eastAsia" w:ascii="仿宋" w:hAnsi="仿宋" w:eastAsia="仿宋"/>
          <w:kern w:val="2"/>
          <w:sz w:val="24"/>
          <w:szCs w:val="24"/>
          <w:lang w:val="en-US" w:eastAsia="zh-CN"/>
        </w:rPr>
        <w:t>方量</w:t>
      </w:r>
      <w:r>
        <w:rPr>
          <w:rFonts w:hint="eastAsia" w:ascii="仿宋" w:hAnsi="仿宋" w:eastAsia="仿宋"/>
          <w:kern w:val="2"/>
          <w:sz w:val="24"/>
          <w:szCs w:val="24"/>
          <w:lang w:eastAsia="zh-CN"/>
        </w:rPr>
        <w:t>进行确认。</w:t>
      </w:r>
    </w:p>
    <w:p w14:paraId="5D394ABC">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7、发票的提供</w:t>
      </w:r>
    </w:p>
    <w:p w14:paraId="0FDC1397">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7.1乙方应在每期结算确认后，在甲方资金支付前，根据合同内容和结算书内容向甲方出具相应增值税发票。以上条件不满足时，乙方不得向甲方申请支付款项，甲方有权停止支付且由乙方自身承担资金风险。</w:t>
      </w:r>
    </w:p>
    <w:p w14:paraId="35792F53">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7.2乙方出具发票需同时满足以下原则：</w:t>
      </w:r>
    </w:p>
    <w:p w14:paraId="2637265A">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7.2.1发票金额</w:t>
      </w:r>
    </w:p>
    <w:p w14:paraId="65429C66">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乙方向甲方开具发票的金额需严格依据“累计确认结算量与资金支付量孰高原则”。</w:t>
      </w:r>
    </w:p>
    <w:p w14:paraId="2886FFF4">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7.2.2票面信息</w:t>
      </w:r>
    </w:p>
    <w:p w14:paraId="24AA69A7">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41C1E6FD">
      <w:pPr>
        <w:framePr w:wrap="auto" w:vAnchor="margin" w:hAnchor="text" w:yAlign="inline"/>
        <w:widowControl w:val="0"/>
        <w:spacing w:line="360" w:lineRule="auto"/>
        <w:ind w:firstLine="480" w:firstLineChars="200"/>
        <w:jc w:val="both"/>
        <w:rPr>
          <w:rFonts w:ascii="仿宋" w:hAnsi="仿宋" w:eastAsia="仿宋"/>
          <w:kern w:val="2"/>
          <w:sz w:val="24"/>
          <w:szCs w:val="24"/>
          <w:lang w:eastAsia="zh-CN"/>
        </w:rPr>
      </w:pPr>
      <w:r>
        <w:rPr>
          <w:rFonts w:hint="eastAsia" w:ascii="仿宋" w:hAnsi="仿宋" w:eastAsia="仿宋"/>
          <w:kern w:val="2"/>
          <w:sz w:val="24"/>
          <w:szCs w:val="24"/>
          <w:lang w:eastAsia="zh-CN"/>
        </w:rPr>
        <w:t>8、发票提供的责任</w:t>
      </w:r>
    </w:p>
    <w:p w14:paraId="4F6CDE12">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kern w:val="2"/>
          <w:sz w:val="24"/>
          <w:szCs w:val="24"/>
          <w:lang w:val="en-US" w:eastAsia="zh-CN"/>
        </w:rPr>
        <w:t>利益受损</w:t>
      </w:r>
      <w:r>
        <w:rPr>
          <w:rFonts w:hint="eastAsia" w:ascii="仿宋" w:hAnsi="仿宋" w:eastAsia="仿宋"/>
          <w:kern w:val="2"/>
          <w:sz w:val="24"/>
          <w:szCs w:val="24"/>
          <w:lang w:eastAsia="zh-CN"/>
        </w:rPr>
        <w:t>的，全部损失由乙方承担。</w:t>
      </w:r>
    </w:p>
    <w:p w14:paraId="1F2F70C2">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kern w:val="2"/>
          <w:sz w:val="24"/>
          <w:szCs w:val="24"/>
          <w:lang w:val="en-US" w:eastAsia="zh-CN"/>
        </w:rPr>
        <w:t>赔偿</w:t>
      </w:r>
      <w:r>
        <w:rPr>
          <w:rFonts w:hint="eastAsia" w:ascii="仿宋" w:hAnsi="仿宋" w:eastAsia="仿宋"/>
          <w:kern w:val="2"/>
          <w:sz w:val="24"/>
          <w:szCs w:val="24"/>
          <w:lang w:eastAsia="zh-CN"/>
        </w:rPr>
        <w:t>相应进项税额3倍的</w:t>
      </w:r>
      <w:r>
        <w:rPr>
          <w:rFonts w:hint="eastAsia" w:ascii="仿宋" w:hAnsi="仿宋" w:eastAsia="仿宋"/>
          <w:kern w:val="2"/>
          <w:sz w:val="24"/>
          <w:szCs w:val="24"/>
          <w:lang w:val="en-US" w:eastAsia="zh-CN"/>
        </w:rPr>
        <w:t>违约金</w:t>
      </w:r>
      <w:r>
        <w:rPr>
          <w:rFonts w:hint="eastAsia" w:ascii="仿宋" w:hAnsi="仿宋" w:eastAsia="仿宋"/>
          <w:kern w:val="2"/>
          <w:sz w:val="24"/>
          <w:szCs w:val="24"/>
          <w:lang w:eastAsia="zh-CN"/>
        </w:rPr>
        <w:t>。</w:t>
      </w:r>
    </w:p>
    <w:p w14:paraId="3952E8C3">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第五条  材料质量</w:t>
      </w:r>
    </w:p>
    <w:p w14:paraId="1435253D">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1、乙方供应的各种规格砂石料及灰砂砖必须保证质量，各项指标应符合本项目设计和施工规范要求，经甲方验收合格后才能允许施工使用。</w:t>
      </w:r>
    </w:p>
    <w:p w14:paraId="130925C9">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2、砂、碎石的质量要求：</w:t>
      </w:r>
    </w:p>
    <w:p w14:paraId="3DD05539">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 xml:space="preserve">⑴砂：满足GB/T 14684-2001标准要求； </w:t>
      </w:r>
    </w:p>
    <w:p w14:paraId="4F22E2FA">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⑵碎石：满足GB/T14685-2001标准要求；</w:t>
      </w:r>
    </w:p>
    <w:p w14:paraId="515C2FB8">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⑶检验方法：满足《普通混凝土用砂、石质量及检验方法标准》（JGJ52-2006）要求；</w:t>
      </w:r>
    </w:p>
    <w:p w14:paraId="65F7F96D">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 xml:space="preserve"> ⑷满足施工技术规范对砂、石的材质要求和配合比要求：</w:t>
      </w:r>
    </w:p>
    <w:p w14:paraId="00835DC7">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①《公路桥涵施工技术规范》（JTJ 041-2000）；</w:t>
      </w:r>
    </w:p>
    <w:p w14:paraId="2DAB034B">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②《公路水泥混凝土路面施工技术规范》（JTG F30-2003）；</w:t>
      </w:r>
    </w:p>
    <w:p w14:paraId="1DE31DCE">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val="zh-CN" w:eastAsia="zh-CN"/>
        </w:rPr>
      </w:pPr>
      <w:r>
        <w:rPr>
          <w:rFonts w:hint="eastAsia" w:ascii="仿宋" w:hAnsi="仿宋" w:eastAsia="仿宋"/>
          <w:kern w:val="2"/>
          <w:sz w:val="24"/>
          <w:szCs w:val="24"/>
          <w:lang w:eastAsia="zh-CN"/>
        </w:rPr>
        <w:t>③</w:t>
      </w:r>
      <w:r>
        <w:rPr>
          <w:rFonts w:hint="eastAsia" w:ascii="仿宋" w:hAnsi="仿宋" w:eastAsia="仿宋"/>
          <w:kern w:val="2"/>
          <w:sz w:val="24"/>
          <w:szCs w:val="24"/>
          <w:lang w:val="zh-CN" w:eastAsia="zh-CN"/>
        </w:rPr>
        <w:t>《公路沥青路面施工技术规范》（JTG F40-2004）；</w:t>
      </w:r>
    </w:p>
    <w:p w14:paraId="0071EA7E">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val="zh-CN" w:eastAsia="zh-CN"/>
        </w:rPr>
        <w:t>④《公路隧道施工技术规范》（JTG F60-2009）。</w:t>
      </w:r>
    </w:p>
    <w:p w14:paraId="721BE7EB">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3、如提供不合格产品用于本工程而发生的质量问题，由此给甲方造成的损失全部由乙方负责；</w:t>
      </w:r>
    </w:p>
    <w:p w14:paraId="2F0F7191">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4、如果给甲方、业主、监理或质检站等监督、管理单位发现材料不符合设计或规范要求，乙方必须无条件自费将不合格材料清理出</w:t>
      </w:r>
      <w:r>
        <w:rPr>
          <w:rFonts w:hint="eastAsia" w:ascii="仿宋" w:hAnsi="仿宋" w:eastAsia="仿宋"/>
          <w:kern w:val="2"/>
          <w:sz w:val="24"/>
          <w:szCs w:val="24"/>
          <w:lang w:val="en-US" w:eastAsia="zh-CN"/>
        </w:rPr>
        <w:t>场</w:t>
      </w:r>
      <w:r>
        <w:rPr>
          <w:rFonts w:hint="eastAsia" w:ascii="仿宋" w:hAnsi="仿宋" w:eastAsia="仿宋"/>
          <w:kern w:val="2"/>
          <w:sz w:val="24"/>
          <w:szCs w:val="24"/>
          <w:lang w:eastAsia="zh-CN"/>
        </w:rPr>
        <w:t>；</w:t>
      </w:r>
    </w:p>
    <w:p w14:paraId="76EACCD9">
      <w:pPr>
        <w:framePr w:wrap="auto" w:vAnchor="margin" w:hAnchor="text" w:yAlign="inline"/>
        <w:widowControl w:val="0"/>
        <w:spacing w:line="360" w:lineRule="auto"/>
        <w:ind w:firstLine="480" w:firstLineChars="200"/>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5、验证方法和质保期限：取样和试验应符合现行施工规范的规定；质保期限为本工程竣工后缺陷责任期满为终止。</w:t>
      </w:r>
    </w:p>
    <w:p w14:paraId="60DBA90B">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第六条  双方责任</w:t>
      </w:r>
    </w:p>
    <w:p w14:paraId="3146FE23">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kern w:val="2"/>
          <w:sz w:val="24"/>
          <w:szCs w:val="24"/>
          <w:lang w:eastAsia="zh-CN"/>
        </w:rPr>
        <w:t>（一）甲方责任</w:t>
      </w:r>
    </w:p>
    <w:p w14:paraId="728F8753">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1、甲方负责本合同第二条约定供货模式下甲方应负的责任；</w:t>
      </w:r>
    </w:p>
    <w:p w14:paraId="1F148D8B">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2、甲方按设计及施工要求向乙方提供所需材料的规格、数量和用料计划；</w:t>
      </w:r>
    </w:p>
    <w:p w14:paraId="45114BAD">
      <w:pPr>
        <w:framePr w:wrap="auto" w:vAnchor="margin" w:hAnchor="text" w:yAlign="inline"/>
        <w:widowControl w:val="0"/>
        <w:tabs>
          <w:tab w:val="left" w:pos="1873"/>
        </w:tabs>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3、甲方负责对砂石料质量进行抽检，并做好使用前的试验工作，以确保其符合本项目设计和施工规范要求；</w:t>
      </w:r>
    </w:p>
    <w:p w14:paraId="4547FCD8">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4、当乙方供应的材料质量不符合要求，或材料产量、运输供应不能满足甲方施工进度需求时，甲方将有权做出如下决定，乙方对此不得存在异议：</w:t>
      </w:r>
    </w:p>
    <w:p w14:paraId="0C838152">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⑴对已进拌和场的不合格材料清理出场，其处理费用由乙方负责；</w:t>
      </w:r>
    </w:p>
    <w:p w14:paraId="772FEAC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⑵甲方重新外购材料以保证施工进度的需要，外购部分的材料到场单价高出乙方供应综合单价的部分从乙方材料款中扣除，以补偿甲方损失；</w:t>
      </w:r>
    </w:p>
    <w:p w14:paraId="2F2D560B">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⑶中止合同执行并保留索赔的权利；</w:t>
      </w:r>
    </w:p>
    <w:p w14:paraId="6664CE63">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5、随时依照向乙方提供的备料计划和供料计划检查乙方的执行情况，如乙方未能完成合同规定和满足甲方要求，甲方有权责成乙方即时整改或终止合同；</w:t>
      </w:r>
    </w:p>
    <w:p w14:paraId="65A9139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6、如乙方不能按甲方要求履行此合同义务时，甲方有权选用备用供应商完成该项目砂石料供应的，乙方不得阻挠；</w:t>
      </w:r>
    </w:p>
    <w:p w14:paraId="5FE8092A">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7、按合同要求进行对</w:t>
      </w:r>
      <w:r>
        <w:rPr>
          <w:rFonts w:hint="eastAsia" w:ascii="仿宋" w:hAnsi="仿宋" w:eastAsia="仿宋"/>
          <w:kern w:val="2"/>
          <w:sz w:val="24"/>
          <w:szCs w:val="24"/>
          <w:lang w:val="en-US" w:eastAsia="zh-CN"/>
        </w:rPr>
        <w:t>账</w:t>
      </w:r>
      <w:r>
        <w:rPr>
          <w:rFonts w:hint="eastAsia" w:ascii="仿宋" w:hAnsi="仿宋" w:eastAsia="仿宋"/>
          <w:kern w:val="2"/>
          <w:sz w:val="24"/>
          <w:szCs w:val="24"/>
          <w:lang w:eastAsia="zh-CN"/>
        </w:rPr>
        <w:t>、确认数量、支付材料款。</w:t>
      </w:r>
    </w:p>
    <w:p w14:paraId="71B250AA">
      <w:pPr>
        <w:framePr w:wrap="auto" w:vAnchor="margin" w:hAnchor="text" w:yAlign="inline"/>
        <w:widowControl w:val="0"/>
        <w:spacing w:line="360" w:lineRule="auto"/>
        <w:ind w:firstLine="482" w:firstLineChars="200"/>
        <w:jc w:val="both"/>
        <w:rPr>
          <w:rFonts w:hint="eastAsia" w:ascii="仿宋" w:hAnsi="仿宋" w:eastAsia="仿宋"/>
          <w:b/>
          <w:kern w:val="2"/>
          <w:sz w:val="24"/>
          <w:szCs w:val="24"/>
          <w:lang w:eastAsia="zh-CN"/>
        </w:rPr>
      </w:pPr>
      <w:r>
        <w:rPr>
          <w:rFonts w:hint="eastAsia" w:ascii="仿宋" w:hAnsi="仿宋" w:eastAsia="仿宋"/>
          <w:b/>
          <w:kern w:val="2"/>
          <w:sz w:val="24"/>
          <w:szCs w:val="24"/>
          <w:lang w:eastAsia="zh-CN"/>
        </w:rPr>
        <w:t>（二）乙方责任</w:t>
      </w:r>
    </w:p>
    <w:p w14:paraId="0D2F4339">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1、乙方负责本合同第二条约定供货模式下乙方应负的责任；</w:t>
      </w:r>
    </w:p>
    <w:p w14:paraId="17A88004">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2、乙方必须在甲方指定的货源地范围，以及乙方投标报价选择的砂石料场内组织货源，将材料运至（或加工后运至）甲方指定的搅拌站堆料</w:t>
      </w:r>
      <w:r>
        <w:rPr>
          <w:rFonts w:hint="eastAsia" w:ascii="仿宋" w:hAnsi="仿宋" w:eastAsia="仿宋"/>
          <w:color w:val="000000"/>
          <w:kern w:val="2"/>
          <w:sz w:val="24"/>
          <w:szCs w:val="24"/>
          <w:lang w:eastAsia="zh-CN"/>
        </w:rPr>
        <w:t>场</w:t>
      </w:r>
      <w:r>
        <w:rPr>
          <w:rFonts w:hint="eastAsia" w:ascii="仿宋" w:hAnsi="仿宋" w:eastAsia="仿宋"/>
          <w:kern w:val="2"/>
          <w:sz w:val="24"/>
          <w:szCs w:val="24"/>
          <w:lang w:eastAsia="zh-CN"/>
        </w:rPr>
        <w:t>；</w:t>
      </w:r>
    </w:p>
    <w:p w14:paraId="6A255FB7">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3、按照甲方提出的供料计划进行各种规格材料的供应，以满足甲方施工的用料需求；</w:t>
      </w:r>
    </w:p>
    <w:p w14:paraId="53BCEE28">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4、严格按砂石料的质量要求和施工要求确保材料的质量，备料数量符合甲方计划要求，确保并满足甲方施工需要；</w:t>
      </w:r>
    </w:p>
    <w:p w14:paraId="3A373204">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5、接受项目监理工程师和甲方质检人员对砂石料及灰砂砖质量的监督与检查，保证材料质量满足规范要求，不合格材料不得进入甲方的备料场；</w:t>
      </w:r>
    </w:p>
    <w:p w14:paraId="685797CD">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6、当砂石料及灰砂砖的质量或乙方供应能力不能满足甲方的要求时，除按本条（一）第4款的规定处理外，对甲方造成的所有损失（如业主罚款、误工等）均由乙方承担；</w:t>
      </w:r>
    </w:p>
    <w:p w14:paraId="1B1FD454">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7、乙方运输车经过地方道路、桥梁、村庄、水利设施、河堤、路堤等，应注意加强环保措施，定期派人清理，如造成损坏必须及时修复，如遇有关单位提出赔偿时，由乙方自行协商解决，甲方不承担任何责任；</w:t>
      </w:r>
    </w:p>
    <w:p w14:paraId="79A93AC8">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8、乙方要采取有效措施确保生产、运输安全，乙方在生产过程中发生的任何安全伤亡事故，以及在运输过程中发生的交通事故，由乙方自己负责，甲方不承担任何责任；</w:t>
      </w:r>
    </w:p>
    <w:p w14:paraId="51D7DC1E">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9、乙方运输时与</w:t>
      </w:r>
      <w:r>
        <w:rPr>
          <w:rFonts w:hint="eastAsia" w:ascii="仿宋" w:hAnsi="仿宋" w:eastAsia="仿宋"/>
          <w:kern w:val="2"/>
          <w:sz w:val="24"/>
          <w:szCs w:val="24"/>
          <w:lang w:val="en-US" w:eastAsia="zh-CN"/>
        </w:rPr>
        <w:t>第三方</w:t>
      </w:r>
      <w:r>
        <w:rPr>
          <w:rFonts w:hint="eastAsia" w:ascii="仿宋" w:hAnsi="仿宋" w:eastAsia="仿宋"/>
          <w:kern w:val="2"/>
          <w:sz w:val="24"/>
          <w:szCs w:val="24"/>
          <w:lang w:eastAsia="zh-CN"/>
        </w:rPr>
        <w:t>发生任何纠纷均与甲方无关，乙方需自行解决；</w:t>
      </w:r>
    </w:p>
    <w:p w14:paraId="6DBFB258">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10、乙方运输车进入甲方工地范围内时，必须遵守甲方的规章制度，服从甲方人员指挥，注意安全、不损坏甲方项目内设施，自觉控制运输车辆的速度与噪声。如果乙方原因引起设施损坏、安全等故事的，由乙方承担责任；</w:t>
      </w:r>
    </w:p>
    <w:p w14:paraId="6187DEA2">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11、乙方提供的砂石料须明确来源，一般情况下不允许私自更改砂石料产地，若在特殊情况下需要更改产地的，必须提前告知甲方，经同意后再行更改；</w:t>
      </w:r>
    </w:p>
    <w:p w14:paraId="40BABD2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12、在运卸料过程中，乙方必须按照甲方的要求在指定位置卸料并保持料场的整洁，不可任意乱倒乱卸；</w:t>
      </w:r>
    </w:p>
    <w:p w14:paraId="50D5A919">
      <w:pPr>
        <w:framePr w:wrap="auto" w:vAnchor="margin" w:hAnchor="text" w:yAlign="inline"/>
        <w:widowControl w:val="0"/>
        <w:spacing w:line="360" w:lineRule="auto"/>
        <w:ind w:firstLine="480" w:firstLineChars="200"/>
        <w:jc w:val="both"/>
        <w:rPr>
          <w:rFonts w:hint="eastAsia" w:ascii="仿宋" w:hAnsi="仿宋" w:eastAsia="仿宋"/>
          <w:b/>
          <w:color w:val="FF0000"/>
          <w:kern w:val="2"/>
          <w:sz w:val="24"/>
          <w:szCs w:val="24"/>
          <w:lang w:eastAsia="zh-CN"/>
        </w:rPr>
      </w:pPr>
      <w:r>
        <w:rPr>
          <w:rFonts w:hint="eastAsia" w:ascii="仿宋" w:hAnsi="仿宋" w:eastAsia="仿宋"/>
          <w:kern w:val="2"/>
          <w:sz w:val="24"/>
          <w:szCs w:val="24"/>
          <w:lang w:eastAsia="zh-CN"/>
        </w:rPr>
        <w:t>13、考虑到甲方搅拌站堆料场的规模大小及运输过程难免出现外部因素阻挠或其它因素，为保证甲方施工的需要，乙方必须在搅拌站附近备有面积不小于</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m</w:t>
      </w:r>
      <w:r>
        <w:rPr>
          <w:rFonts w:hint="eastAsia" w:ascii="仿宋" w:hAnsi="仿宋" w:eastAsia="仿宋"/>
          <w:kern w:val="2"/>
          <w:sz w:val="24"/>
          <w:szCs w:val="24"/>
          <w:vertAlign w:val="superscript"/>
          <w:lang w:eastAsia="zh-CN"/>
        </w:rPr>
        <w:t>2</w:t>
      </w:r>
      <w:r>
        <w:rPr>
          <w:rFonts w:hint="eastAsia" w:ascii="仿宋" w:hAnsi="仿宋" w:eastAsia="仿宋"/>
          <w:kern w:val="2"/>
          <w:sz w:val="24"/>
          <w:szCs w:val="24"/>
          <w:lang w:eastAsia="zh-CN"/>
        </w:rPr>
        <w:t>储料场，保证每一搅拌站场每一种规格砂石料必须最少储存</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m</w:t>
      </w:r>
      <w:r>
        <w:rPr>
          <w:rFonts w:hint="eastAsia" w:ascii="仿宋" w:hAnsi="仿宋" w:eastAsia="仿宋"/>
          <w:kern w:val="2"/>
          <w:sz w:val="24"/>
          <w:szCs w:val="24"/>
          <w:vertAlign w:val="superscript"/>
          <w:lang w:eastAsia="zh-CN"/>
        </w:rPr>
        <w:t>2</w:t>
      </w:r>
      <w:r>
        <w:rPr>
          <w:rFonts w:hint="eastAsia" w:ascii="仿宋" w:hAnsi="仿宋" w:eastAsia="仿宋"/>
          <w:kern w:val="2"/>
          <w:sz w:val="24"/>
          <w:szCs w:val="24"/>
          <w:lang w:eastAsia="zh-CN"/>
        </w:rPr>
        <w:t>砂石料，保证每次浇注砼后，甲方的料场能在24小时内补充满。</w:t>
      </w:r>
    </w:p>
    <w:p w14:paraId="2FB6FF14">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第七条  违约责任</w:t>
      </w:r>
    </w:p>
    <w:p w14:paraId="6D8F1C31">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1、在施工过程中，乙方不能按砂石料质量要求或项目设计要求供应砂石料，情节严重的甲方有权终止合同，并且停止支付材料款并有权要求乙方支付本合同价款的</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%作为违约金；延误及返工造成的损失，乙方应予赔偿；</w:t>
      </w:r>
    </w:p>
    <w:p w14:paraId="156AE954">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2、乙方不按时供货时，甲方按每违约1次(一天以内)则罚款</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lang w:eastAsia="zh-CN"/>
        </w:rPr>
        <w:t>万元，累计三次，甲方有权终止合同，并由此而造成的甲方经济损失均由乙方负责；</w:t>
      </w:r>
    </w:p>
    <w:p w14:paraId="34F8D8DD">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合同签订后，甲方有权根据工程的施工情况和乙方材料供应的情况调整乙方的供应任务，但未经双方协商同意，任何一方不得擅自解除合同。如乙方未经甲方同意，单方解除合同时，或未能按时、合理地组织材料的供应，影响工程的进度或质量，或无正当理由，不履行合同规定的义务或屡不服从甲方的指挥，甲方有权</w:t>
      </w:r>
      <w:r>
        <w:rPr>
          <w:rFonts w:hint="eastAsia" w:ascii="仿宋" w:hAnsi="仿宋" w:eastAsia="仿宋"/>
          <w:kern w:val="2"/>
          <w:sz w:val="24"/>
          <w:szCs w:val="24"/>
          <w:lang w:val="en-US" w:eastAsia="zh-CN"/>
        </w:rPr>
        <w:t>不予支付</w:t>
      </w:r>
      <w:r>
        <w:rPr>
          <w:rFonts w:hint="eastAsia" w:ascii="仿宋" w:hAnsi="仿宋" w:eastAsia="仿宋"/>
          <w:kern w:val="2"/>
          <w:sz w:val="24"/>
          <w:szCs w:val="24"/>
          <w:lang w:eastAsia="zh-CN"/>
        </w:rPr>
        <w:t>剩余比例的材料款，并要求乙方赔偿甲方因影响施工计划安排造成的经济损失；如乙方原因，甲方有权解除合同，乙方必须按甲方要求退场，由此造成损失由乙方负责；</w:t>
      </w:r>
    </w:p>
    <w:p w14:paraId="10DC772E">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4、未经甲方书面同意，乙方不得进行任何形式</w:t>
      </w:r>
      <w:r>
        <w:rPr>
          <w:rFonts w:hint="eastAsia" w:ascii="仿宋" w:hAnsi="仿宋" w:eastAsia="仿宋"/>
          <w:kern w:val="2"/>
          <w:sz w:val="24"/>
          <w:szCs w:val="24"/>
          <w:lang w:val="en-US" w:eastAsia="zh-CN"/>
        </w:rPr>
        <w:t>将本合同约定的义务交由第三人履行</w:t>
      </w:r>
      <w:r>
        <w:rPr>
          <w:rFonts w:hint="eastAsia" w:ascii="仿宋" w:hAnsi="仿宋" w:eastAsia="仿宋"/>
          <w:kern w:val="2"/>
          <w:sz w:val="24"/>
          <w:szCs w:val="24"/>
          <w:lang w:eastAsia="zh-CN"/>
        </w:rPr>
        <w:t>，否则视为违约，甲方有权没收合同履约保证金，终止合同，</w:t>
      </w:r>
      <w:r>
        <w:rPr>
          <w:rFonts w:hint="eastAsia" w:ascii="仿宋" w:hAnsi="仿宋" w:eastAsia="仿宋"/>
          <w:kern w:val="2"/>
          <w:sz w:val="24"/>
          <w:szCs w:val="24"/>
          <w:lang w:val="en-US" w:eastAsia="zh-CN"/>
        </w:rPr>
        <w:t>并要求乙方赔偿因此对甲方造成的损失</w:t>
      </w:r>
      <w:r>
        <w:rPr>
          <w:rFonts w:hint="eastAsia" w:ascii="仿宋" w:hAnsi="仿宋" w:eastAsia="仿宋"/>
          <w:kern w:val="2"/>
          <w:sz w:val="24"/>
          <w:szCs w:val="24"/>
          <w:lang w:eastAsia="zh-CN"/>
        </w:rPr>
        <w:t>；</w:t>
      </w:r>
    </w:p>
    <w:p w14:paraId="36BFC861">
      <w:pPr>
        <w:framePr w:wrap="auto" w:vAnchor="margin" w:hAnchor="text" w:yAlign="inline"/>
        <w:widowControl w:val="0"/>
        <w:spacing w:line="360" w:lineRule="auto"/>
        <w:ind w:firstLine="480" w:firstLineChars="200"/>
        <w:jc w:val="both"/>
        <w:rPr>
          <w:rFonts w:hint="eastAsia" w:ascii="仿宋" w:hAnsi="仿宋" w:eastAsia="仿宋"/>
          <w:bCs/>
          <w:kern w:val="2"/>
          <w:sz w:val="24"/>
          <w:szCs w:val="24"/>
          <w:lang w:eastAsia="zh-CN"/>
        </w:rPr>
      </w:pPr>
      <w:r>
        <w:rPr>
          <w:rFonts w:hint="eastAsia" w:ascii="仿宋" w:hAnsi="仿宋" w:eastAsia="仿宋"/>
          <w:bCs/>
          <w:kern w:val="2"/>
          <w:sz w:val="24"/>
          <w:szCs w:val="24"/>
          <w:lang w:val="en-US" w:eastAsia="zh-CN"/>
        </w:rPr>
        <w:t>5</w:t>
      </w:r>
      <w:r>
        <w:rPr>
          <w:rFonts w:hint="eastAsia" w:ascii="仿宋" w:hAnsi="仿宋" w:eastAsia="仿宋"/>
          <w:bCs/>
          <w:kern w:val="2"/>
          <w:sz w:val="24"/>
          <w:szCs w:val="24"/>
          <w:lang w:eastAsia="zh-CN"/>
        </w:rPr>
        <w:t>、进入备料场的材料，如发现签单后未卸货即离场的，</w:t>
      </w:r>
      <w:r>
        <w:rPr>
          <w:rFonts w:hint="eastAsia" w:ascii="仿宋" w:hAnsi="仿宋" w:eastAsia="仿宋"/>
          <w:bCs/>
          <w:kern w:val="2"/>
          <w:sz w:val="24"/>
          <w:szCs w:val="24"/>
          <w:lang w:val="en-US" w:eastAsia="zh-CN"/>
        </w:rPr>
        <w:t>甲方有权解除合同并要求乙方支付违约金1-10万元</w:t>
      </w:r>
      <w:r>
        <w:rPr>
          <w:rFonts w:hint="eastAsia" w:ascii="仿宋" w:hAnsi="仿宋" w:eastAsia="仿宋"/>
          <w:bCs/>
          <w:kern w:val="2"/>
          <w:sz w:val="24"/>
          <w:szCs w:val="24"/>
          <w:lang w:eastAsia="zh-CN"/>
        </w:rPr>
        <w:t>；</w:t>
      </w:r>
    </w:p>
    <w:p w14:paraId="02F11053">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val="en-US" w:eastAsia="zh-CN"/>
        </w:rPr>
        <w:t>6</w:t>
      </w:r>
      <w:r>
        <w:rPr>
          <w:rFonts w:hint="eastAsia" w:ascii="仿宋" w:hAnsi="仿宋" w:eastAsia="仿宋"/>
          <w:kern w:val="2"/>
          <w:sz w:val="24"/>
          <w:szCs w:val="24"/>
          <w:lang w:eastAsia="zh-CN"/>
        </w:rPr>
        <w:t>、乙方因本合同产生的包括但不限于给甲方造成的损失、违约金、处罚款等款项，甲方有权在应付款项中优先扣减，仍不能弥补甲方损失的，甲方有权向乙方进行追偿。</w:t>
      </w:r>
    </w:p>
    <w:p w14:paraId="5AB63BF2">
      <w:pPr>
        <w:framePr w:wrap="auto" w:vAnchor="margin" w:hAnchor="text" w:yAlign="inline"/>
        <w:widowControl w:val="0"/>
        <w:spacing w:line="360" w:lineRule="auto"/>
        <w:ind w:firstLine="482" w:firstLineChars="200"/>
        <w:jc w:val="both"/>
        <w:rPr>
          <w:rFonts w:hint="eastAsia" w:ascii="仿宋" w:hAnsi="仿宋" w:eastAsia="仿宋"/>
          <w:b/>
          <w:bCs/>
          <w:kern w:val="2"/>
          <w:sz w:val="24"/>
          <w:szCs w:val="24"/>
          <w:lang w:eastAsia="zh-CN"/>
        </w:rPr>
      </w:pPr>
      <w:r>
        <w:rPr>
          <w:rFonts w:hint="eastAsia" w:ascii="仿宋" w:hAnsi="仿宋" w:eastAsia="仿宋"/>
          <w:b/>
          <w:bCs/>
          <w:kern w:val="2"/>
          <w:sz w:val="24"/>
          <w:szCs w:val="24"/>
          <w:lang w:eastAsia="zh-CN"/>
        </w:rPr>
        <w:t>第八条 其他</w:t>
      </w:r>
    </w:p>
    <w:p w14:paraId="6EF5FA67">
      <w:pPr>
        <w:framePr w:wrap="auto" w:vAnchor="margin" w:hAnchor="text" w:yAlign="inline"/>
        <w:widowControl w:val="0"/>
        <w:autoSpaceDE w:val="0"/>
        <w:autoSpaceDN w:val="0"/>
        <w:adjustRightInd w:val="0"/>
        <w:spacing w:line="360" w:lineRule="auto"/>
        <w:ind w:firstLine="480" w:firstLineChars="200"/>
        <w:contextualSpacing/>
        <w:jc w:val="left"/>
        <w:rPr>
          <w:rFonts w:hint="eastAsia" w:ascii="仿宋" w:hAnsi="仿宋" w:eastAsia="仿宋"/>
          <w:kern w:val="2"/>
          <w:sz w:val="24"/>
          <w:szCs w:val="24"/>
          <w:lang w:eastAsia="zh-CN"/>
        </w:rPr>
      </w:pPr>
      <w:r>
        <w:rPr>
          <w:rFonts w:hint="eastAsia" w:ascii="仿宋" w:hAnsi="仿宋" w:eastAsia="仿宋"/>
          <w:kern w:val="2"/>
          <w:sz w:val="24"/>
          <w:szCs w:val="24"/>
          <w:lang w:eastAsia="zh-CN"/>
        </w:rPr>
        <w:t>1、</w:t>
      </w:r>
      <w:r>
        <w:rPr>
          <w:rFonts w:hint="eastAsia" w:ascii="仿宋" w:hAnsi="仿宋" w:eastAsia="仿宋" w:cs="仿宋"/>
          <w:bCs/>
          <w:kern w:val="0"/>
          <w:sz w:val="24"/>
          <w:szCs w:val="20"/>
          <w:lang w:eastAsia="zh-CN"/>
        </w:rPr>
        <w:t>甲方不允许项目部人员擅自变更本合同以及以甲方或甲方项目部名义对外借款等。甲方与乙方之间签订的任何合同、协议、补充合同、承诺书、确认单等均以甲方委派项目经历签字并加盖公司公章或公司合同专用章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00E2555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2、不可抗力所致及其处理：因不可抗力导致本合同实施延误或不能履行合同义务，当事方应尽一切可能做好善后工作，并事后以书面形式将不可抗力的情况和原因通知对方，双方协商解决并履行不受不可抗力的影响的其他事项；</w:t>
      </w:r>
    </w:p>
    <w:p w14:paraId="088CCF45">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3、合同修改：除了双方签署书面修改协议并成为本合同不可分割的一部分的情况之外，本合同的条款不得有任何变化或修改。其中甲、乙双方为本合同材料供应所编制的采购文件和报价文件均作为本合同的有效组成部分，并对甲乙双方具有同样约束力；</w:t>
      </w:r>
    </w:p>
    <w:p w14:paraId="019EE5F3">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4、乙方报价文件所涉及的内容和承诺的事项，将成为本合同的有效组织部分；</w:t>
      </w:r>
    </w:p>
    <w:p w14:paraId="6B6C7467">
      <w:pPr>
        <w:framePr w:wrap="auto" w:vAnchor="margin" w:hAnchor="text" w:yAlign="inline"/>
        <w:widowControl w:val="0"/>
        <w:spacing w:line="360" w:lineRule="auto"/>
        <w:ind w:firstLine="480" w:firstLineChars="200"/>
        <w:jc w:val="both"/>
        <w:rPr>
          <w:rFonts w:hint="eastAsia" w:ascii="仿宋" w:hAnsi="仿宋" w:eastAsia="仿宋"/>
          <w:color w:val="3366FF"/>
          <w:kern w:val="2"/>
          <w:sz w:val="24"/>
          <w:szCs w:val="24"/>
          <w:lang w:eastAsia="zh-CN"/>
        </w:rPr>
      </w:pPr>
      <w:r>
        <w:rPr>
          <w:rFonts w:hint="eastAsia" w:ascii="仿宋" w:hAnsi="仿宋" w:eastAsia="仿宋"/>
          <w:kern w:val="2"/>
          <w:sz w:val="24"/>
          <w:szCs w:val="24"/>
          <w:lang w:eastAsia="zh-CN"/>
        </w:rPr>
        <w:t>5、本合同未尽事宜，由双方双好协商解决，或订立补充合同或协议，如有争议协商不成时，任何一方可向</w:t>
      </w:r>
      <w:r>
        <w:rPr>
          <w:rFonts w:hint="eastAsia" w:ascii="仿宋" w:hAnsi="仿宋" w:eastAsia="仿宋"/>
          <w:kern w:val="2"/>
          <w:sz w:val="24"/>
          <w:szCs w:val="24"/>
          <w:lang w:val="en-US" w:eastAsia="zh-CN"/>
        </w:rPr>
        <w:t>甲方所在地有管辖权的人民法院</w:t>
      </w:r>
      <w:r>
        <w:rPr>
          <w:rFonts w:hint="eastAsia" w:ascii="仿宋" w:hAnsi="仿宋" w:eastAsia="仿宋"/>
          <w:kern w:val="2"/>
          <w:sz w:val="24"/>
          <w:szCs w:val="24"/>
          <w:lang w:eastAsia="zh-CN"/>
        </w:rPr>
        <w:t>提起</w:t>
      </w:r>
      <w:r>
        <w:rPr>
          <w:rFonts w:hint="eastAsia" w:ascii="仿宋" w:hAnsi="仿宋" w:eastAsia="仿宋"/>
          <w:kern w:val="2"/>
          <w:sz w:val="24"/>
          <w:szCs w:val="24"/>
          <w:lang w:val="en-US" w:eastAsia="zh-CN"/>
        </w:rPr>
        <w:t>诉讼</w:t>
      </w:r>
      <w:r>
        <w:rPr>
          <w:rFonts w:hint="eastAsia" w:ascii="仿宋" w:hAnsi="仿宋" w:eastAsia="仿宋"/>
          <w:kern w:val="2"/>
          <w:sz w:val="24"/>
          <w:szCs w:val="24"/>
          <w:lang w:eastAsia="zh-CN"/>
        </w:rPr>
        <w:t>；</w:t>
      </w:r>
    </w:p>
    <w:p w14:paraId="541B7D74">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6、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3E51149D">
      <w:pPr>
        <w:framePr w:wrap="auto" w:vAnchor="margin" w:hAnchor="text" w:yAlign="inline"/>
        <w:widowControl w:val="0"/>
        <w:spacing w:line="360" w:lineRule="auto"/>
        <w:ind w:firstLine="480" w:firstLineChars="200"/>
        <w:jc w:val="both"/>
        <w:rPr>
          <w:rFonts w:hint="default" w:ascii="仿宋" w:hAnsi="仿宋" w:eastAsia="仿宋"/>
          <w:kern w:val="2"/>
          <w:sz w:val="24"/>
          <w:szCs w:val="24"/>
          <w:lang w:val="en-US" w:eastAsia="zh-CN"/>
        </w:rPr>
      </w:pPr>
      <w:r>
        <w:rPr>
          <w:rFonts w:hint="eastAsia" w:ascii="仿宋" w:hAnsi="仿宋" w:eastAsia="仿宋"/>
          <w:kern w:val="2"/>
          <w:sz w:val="24"/>
          <w:szCs w:val="24"/>
          <w:lang w:eastAsia="zh-CN"/>
        </w:rPr>
        <w:t>甲方地址：</w:t>
      </w:r>
      <w:r>
        <w:rPr>
          <w:rFonts w:hint="eastAsia" w:ascii="仿宋" w:hAnsi="仿宋" w:eastAsia="仿宋"/>
          <w:kern w:val="2"/>
          <w:sz w:val="24"/>
          <w:szCs w:val="24"/>
          <w:u w:val="single"/>
          <w:lang w:val="en-US" w:eastAsia="zh-CN"/>
        </w:rPr>
        <w:t xml:space="preserve">              </w:t>
      </w:r>
    </w:p>
    <w:p w14:paraId="6D3B9A8A">
      <w:pPr>
        <w:framePr w:wrap="auto" w:vAnchor="margin" w:hAnchor="text" w:yAlign="inline"/>
        <w:widowControl w:val="0"/>
        <w:spacing w:line="360" w:lineRule="auto"/>
        <w:ind w:firstLine="480" w:firstLineChars="200"/>
        <w:jc w:val="both"/>
        <w:rPr>
          <w:rFonts w:hint="eastAsia" w:ascii="仿宋" w:hAnsi="仿宋" w:eastAsia="仿宋"/>
          <w:kern w:val="2"/>
          <w:sz w:val="24"/>
          <w:szCs w:val="24"/>
          <w:u w:val="single"/>
          <w:lang w:eastAsia="zh-CN"/>
        </w:rPr>
      </w:pPr>
      <w:r>
        <w:rPr>
          <w:rFonts w:hint="eastAsia" w:ascii="仿宋" w:hAnsi="仿宋" w:eastAsia="仿宋"/>
          <w:kern w:val="2"/>
          <w:sz w:val="24"/>
          <w:szCs w:val="24"/>
          <w:lang w:eastAsia="zh-CN"/>
        </w:rPr>
        <w:t>乙方地址：</w:t>
      </w:r>
      <w:r>
        <w:rPr>
          <w:rFonts w:hint="eastAsia" w:ascii="仿宋" w:hAnsi="仿宋" w:eastAsia="仿宋"/>
          <w:kern w:val="2"/>
          <w:sz w:val="24"/>
          <w:szCs w:val="24"/>
          <w:u w:val="single"/>
          <w:lang w:eastAsia="zh-CN"/>
        </w:rPr>
        <w:t xml:space="preserve"> </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u w:val="single"/>
          <w:lang w:eastAsia="zh-CN"/>
        </w:rPr>
        <w:t xml:space="preserve"> </w:t>
      </w:r>
    </w:p>
    <w:p w14:paraId="7FA8A6A1">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7、本合同一式</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份，甲方执</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份，乙方执</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份，具有同等的法律效力；</w:t>
      </w:r>
    </w:p>
    <w:p w14:paraId="7C755A38">
      <w:pPr>
        <w:framePr w:wrap="auto" w:vAnchor="margin" w:hAnchor="text" w:yAlign="inline"/>
        <w:widowControl w:val="0"/>
        <w:spacing w:line="360" w:lineRule="auto"/>
        <w:ind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8、本合同在双方签字盖章后生效，双方履行完毕合同中全部责任后自然终止。</w:t>
      </w:r>
    </w:p>
    <w:p w14:paraId="07F1D6E4">
      <w:pPr>
        <w:framePr w:wrap="auto" w:vAnchor="margin" w:hAnchor="text" w:yAlign="inline"/>
        <w:widowControl w:val="0"/>
        <w:spacing w:line="360" w:lineRule="auto"/>
        <w:ind w:right="-998" w:rightChars="-416" w:firstLine="480" w:firstLineChars="200"/>
        <w:jc w:val="both"/>
        <w:rPr>
          <w:rFonts w:hint="eastAsia" w:ascii="仿宋" w:hAnsi="仿宋" w:eastAsia="仿宋"/>
          <w:kern w:val="2"/>
          <w:sz w:val="24"/>
          <w:szCs w:val="24"/>
          <w:lang w:eastAsia="zh-CN"/>
        </w:rPr>
      </w:pPr>
      <w:r>
        <w:rPr>
          <w:rFonts w:hint="eastAsia" w:ascii="仿宋" w:hAnsi="仿宋" w:eastAsia="仿宋"/>
          <w:kern w:val="2"/>
          <w:sz w:val="24"/>
          <w:szCs w:val="24"/>
          <w:lang w:eastAsia="zh-CN"/>
        </w:rPr>
        <w:t>（本行以下无正文）</w:t>
      </w:r>
    </w:p>
    <w:p w14:paraId="0E2606F1">
      <w:pPr>
        <w:framePr w:wrap="auto" w:vAnchor="margin" w:hAnchor="text" w:yAlign="inline"/>
        <w:widowControl w:val="0"/>
        <w:spacing w:line="360" w:lineRule="auto"/>
        <w:ind w:right="-998" w:rightChars="-416"/>
        <w:jc w:val="both"/>
        <w:rPr>
          <w:rFonts w:hint="eastAsia" w:ascii="仿宋" w:hAnsi="仿宋" w:eastAsia="仿宋"/>
          <w:kern w:val="2"/>
          <w:sz w:val="24"/>
          <w:szCs w:val="24"/>
          <w:lang w:eastAsia="zh-CN"/>
        </w:rPr>
      </w:pPr>
    </w:p>
    <w:p w14:paraId="2BA68DE4">
      <w:pPr>
        <w:framePr w:wrap="auto" w:vAnchor="margin" w:hAnchor="text" w:yAlign="inline"/>
        <w:widowControl w:val="0"/>
        <w:autoSpaceDE w:val="0"/>
        <w:autoSpaceDN w:val="0"/>
        <w:spacing w:line="360" w:lineRule="auto"/>
        <w:ind w:left="6000" w:hanging="6000" w:hangingChars="2500"/>
        <w:jc w:val="left"/>
        <w:rPr>
          <w:rFonts w:ascii="仿宋" w:hAnsi="仿宋" w:eastAsia="仿宋"/>
          <w:kern w:val="2"/>
          <w:sz w:val="24"/>
          <w:szCs w:val="24"/>
          <w:lang w:eastAsia="zh-CN"/>
        </w:rPr>
      </w:pPr>
      <w:r>
        <w:rPr>
          <w:rFonts w:hint="eastAsia" w:ascii="仿宋" w:hAnsi="仿宋" w:eastAsia="仿宋"/>
          <w:kern w:val="2"/>
          <w:sz w:val="24"/>
          <w:szCs w:val="24"/>
          <w:lang w:eastAsia="zh-CN"/>
        </w:rPr>
        <w:t>甲方：</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 xml:space="preserve"> (盖章)  </w:t>
      </w: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eastAsia="zh-CN"/>
        </w:rPr>
        <w:t>乙方：</w:t>
      </w:r>
      <w:r>
        <w:rPr>
          <w:rFonts w:hint="eastAsia" w:ascii="仿宋" w:hAnsi="仿宋" w:eastAsia="仿宋"/>
          <w:kern w:val="2"/>
          <w:sz w:val="24"/>
          <w:szCs w:val="24"/>
          <w:u w:val="single"/>
          <w:lang w:val="en-US" w:eastAsia="zh-CN"/>
        </w:rPr>
        <w:t xml:space="preserve">               </w:t>
      </w:r>
      <w:r>
        <w:rPr>
          <w:rFonts w:hint="eastAsia" w:ascii="仿宋" w:hAnsi="仿宋" w:eastAsia="仿宋"/>
          <w:kern w:val="2"/>
          <w:sz w:val="24"/>
          <w:szCs w:val="24"/>
          <w:lang w:eastAsia="zh-CN"/>
        </w:rPr>
        <w:t>（盖章）</w:t>
      </w:r>
      <w:r>
        <w:rPr>
          <w:rFonts w:ascii="仿宋" w:hAnsi="仿宋" w:eastAsia="仿宋"/>
          <w:kern w:val="2"/>
          <w:sz w:val="24"/>
          <w:szCs w:val="24"/>
          <w:lang w:eastAsia="zh-CN"/>
        </w:rPr>
        <w:t xml:space="preserve">                                    </w:t>
      </w:r>
    </w:p>
    <w:p w14:paraId="0554412A">
      <w:pPr>
        <w:framePr w:wrap="auto" w:vAnchor="margin" w:hAnchor="text" w:yAlign="inline"/>
        <w:spacing w:line="480" w:lineRule="auto"/>
        <w:rPr>
          <w:rFonts w:hint="eastAsia" w:ascii="仿宋" w:hAnsi="仿宋" w:eastAsia="仿宋"/>
          <w:kern w:val="2"/>
          <w:sz w:val="24"/>
          <w:szCs w:val="24"/>
          <w:lang w:eastAsia="zh-CN"/>
        </w:rPr>
      </w:pPr>
      <w:r>
        <w:rPr>
          <w:rFonts w:hint="eastAsia" w:ascii="仿宋" w:hAnsi="仿宋" w:eastAsia="仿宋"/>
          <w:kern w:val="2"/>
          <w:sz w:val="24"/>
          <w:szCs w:val="24"/>
          <w:lang w:eastAsia="zh-CN"/>
        </w:rPr>
        <w:t xml:space="preserve">签订时间：                            </w:t>
      </w: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eastAsia="zh-CN"/>
        </w:rPr>
        <w:t>签订时间：</w:t>
      </w:r>
    </w:p>
    <w:p w14:paraId="6EA22C82">
      <w:pPr>
        <w:framePr w:wrap="auto" w:vAnchor="margin" w:hAnchor="text" w:yAlign="inline"/>
        <w:spacing w:line="480" w:lineRule="auto"/>
        <w:rPr>
          <w:rFonts w:hint="eastAsia" w:ascii="仿宋" w:hAnsi="仿宋" w:eastAsia="仿宋"/>
          <w:kern w:val="2"/>
          <w:sz w:val="24"/>
          <w:szCs w:val="24"/>
          <w:lang w:eastAsia="zh-CN"/>
        </w:rPr>
      </w:pPr>
      <w:r>
        <w:rPr>
          <w:rFonts w:hint="eastAsia" w:ascii="仿宋" w:hAnsi="仿宋" w:eastAsia="仿宋"/>
          <w:kern w:val="2"/>
          <w:sz w:val="24"/>
          <w:szCs w:val="24"/>
          <w:lang w:eastAsia="zh-CN"/>
        </w:rPr>
        <w:t xml:space="preserve">或委托代理人： (签名)                 </w:t>
      </w: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eastAsia="zh-CN"/>
        </w:rPr>
        <w:t xml:space="preserve">或委托代理人：(签名) </w:t>
      </w:r>
    </w:p>
    <w:p w14:paraId="302137B0">
      <w:pPr>
        <w:framePr w:wrap="auto" w:vAnchor="margin" w:hAnchor="text" w:yAlign="inline"/>
        <w:widowControl w:val="0"/>
        <w:spacing w:line="360" w:lineRule="auto"/>
        <w:jc w:val="both"/>
        <w:rPr>
          <w:rFonts w:hint="eastAsia" w:ascii="仿宋" w:hAnsi="仿宋" w:eastAsia="仿宋"/>
          <w:kern w:val="2"/>
          <w:sz w:val="24"/>
          <w:szCs w:val="24"/>
          <w:lang w:eastAsia="zh-CN"/>
        </w:rPr>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仿宋" w:hAnsi="仿宋" w:eastAsia="仿宋"/>
          <w:kern w:val="2"/>
          <w:sz w:val="24"/>
          <w:szCs w:val="24"/>
          <w:lang w:eastAsia="zh-CN"/>
        </w:rPr>
        <w:t xml:space="preserve">法定代表人:  (签名)                   </w:t>
      </w:r>
      <w:r>
        <w:rPr>
          <w:rFonts w:hint="eastAsia" w:ascii="仿宋" w:hAnsi="仿宋" w:eastAsia="仿宋"/>
          <w:kern w:val="2"/>
          <w:sz w:val="24"/>
          <w:szCs w:val="24"/>
          <w:lang w:val="en-US" w:eastAsia="zh-CN"/>
        </w:rPr>
        <w:t xml:space="preserve">   </w:t>
      </w:r>
      <w:r>
        <w:rPr>
          <w:rFonts w:hint="eastAsia" w:ascii="仿宋" w:hAnsi="仿宋" w:eastAsia="仿宋"/>
          <w:kern w:val="2"/>
          <w:sz w:val="24"/>
          <w:szCs w:val="24"/>
          <w:lang w:eastAsia="zh-CN"/>
        </w:rPr>
        <w:t>法定代表人: (签名)</w:t>
      </w:r>
    </w:p>
    <w:p w14:paraId="77C77D38">
      <w:pPr>
        <w:framePr w:wrap="auto" w:vAnchor="margin" w:hAnchor="text" w:yAlign="inline"/>
        <w:widowControl w:val="0"/>
        <w:spacing w:line="360" w:lineRule="auto"/>
        <w:jc w:val="both"/>
        <w:rPr>
          <w:rFonts w:hint="eastAsia" w:ascii="仿宋" w:hAnsi="仿宋" w:eastAsia="仿宋"/>
          <w:kern w:val="2"/>
          <w:sz w:val="24"/>
          <w:szCs w:val="24"/>
          <w:lang w:eastAsia="zh-CN"/>
        </w:rPr>
      </w:pP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6" w:name="_Toc14401"/>
      <w:r>
        <w:rPr>
          <w:rFonts w:hint="eastAsia" w:ascii="宋体" w:hAnsi="宋体" w:eastAsia="宋体" w:cs="宋体"/>
          <w:b/>
          <w:bCs/>
          <w:color w:val="auto"/>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广东省惠州市惠东县高潭镇“东江红都”25公里乡村振兴示范带建设高潭镇排污排水系统建设项目(一期)施工编号（02）砂石料及灰砂砖竞价</w:t>
      </w:r>
      <w:r>
        <w:rPr>
          <w:rFonts w:hint="eastAsia" w:ascii="宋体" w:hAnsi="宋体" w:eastAsia="宋体" w:cs="宋体"/>
          <w:b/>
          <w:bCs/>
          <w:color w:val="auto"/>
          <w:sz w:val="44"/>
          <w:szCs w:val="44"/>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z w:val="32"/>
          <w:szCs w:val="32"/>
          <w:highlight w:val="none"/>
          <w:u w:val="single"/>
          <w:lang w:val="zh-TW"/>
        </w:rPr>
      </w:pPr>
      <w:r>
        <w:rPr>
          <w:rFonts w:hint="eastAsia" w:ascii="宋体" w:hAnsi="宋体" w:eastAsia="宋体" w:cs="宋体"/>
          <w:color w:val="auto"/>
          <w:sz w:val="32"/>
          <w:szCs w:val="32"/>
          <w:highlight w:val="none"/>
        </w:rPr>
        <w:t>响应人</w:t>
      </w:r>
      <w:r>
        <w:rPr>
          <w:rFonts w:hint="eastAsia" w:ascii="宋体" w:hAnsi="宋体" w:eastAsia="宋体" w:cs="宋体"/>
          <w:color w:val="auto"/>
          <w:sz w:val="32"/>
          <w:szCs w:val="32"/>
          <w:highlight w:val="none"/>
          <w:lang w:val="zh-TW" w:eastAsia="zh-TW"/>
        </w:rPr>
        <w:t>：</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z w:val="32"/>
          <w:szCs w:val="32"/>
          <w:highlight w:val="none"/>
          <w:u w:val="single"/>
          <w:lang w:eastAsia="zh-TW"/>
        </w:rPr>
      </w:pPr>
      <w:r>
        <w:rPr>
          <w:rFonts w:hint="eastAsia" w:ascii="宋体" w:hAnsi="宋体" w:eastAsia="宋体" w:cs="宋体"/>
          <w:color w:val="auto"/>
          <w:sz w:val="32"/>
          <w:szCs w:val="32"/>
          <w:highlight w:val="none"/>
          <w:lang w:eastAsia="zh-TW"/>
        </w:rPr>
        <w:t>法定代表人或其委托代理人：</w:t>
      </w:r>
      <w:r>
        <w:rPr>
          <w:rFonts w:hint="eastAsia" w:ascii="宋体" w:hAnsi="宋体" w:eastAsia="宋体" w:cs="宋体"/>
          <w:color w:val="auto"/>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TW" w:eastAsia="zh-TW"/>
        </w:rPr>
        <w:t xml:space="preserve">编制日期：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日</w:t>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lang w:val="en-US" w:eastAsia="zh-CN"/>
        </w:rPr>
      </w:pPr>
      <w:r>
        <w:rPr>
          <w:rFonts w:hint="eastAsia" w:ascii="宋体" w:hAnsi="宋体" w:eastAsia="宋体" w:cs="宋体"/>
          <w:b w:val="0"/>
          <w:bCs w:val="0"/>
          <w:color w:val="auto"/>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3B87497">
      <w:pPr>
        <w:framePr w:wrap="auto" w:vAnchor="margin" w:hAnchor="text" w:yAlign="inline"/>
        <w:rPr>
          <w:rFonts w:ascii="宋体" w:hAnsi="宋体" w:eastAsia="宋体" w:cs="宋体"/>
          <w:b w:val="0"/>
          <w:bCs w:val="0"/>
          <w:color w:val="auto"/>
          <w:sz w:val="30"/>
          <w:szCs w:val="30"/>
        </w:rPr>
      </w:pPr>
      <w:bookmarkStart w:id="17" w:name="_Toc480462724"/>
      <w:bookmarkStart w:id="18" w:name="_Toc39826987"/>
      <w:bookmarkStart w:id="19" w:name="_Toc474920011"/>
      <w:bookmarkStart w:id="20" w:name="_Toc486837000"/>
    </w:p>
    <w:p w14:paraId="57A9ED40">
      <w:pPr>
        <w:framePr w:wrap="auto" w:vAnchor="margin" w:hAnchor="text" w:yAlign="inline"/>
        <w:rPr>
          <w:rFonts w:ascii="宋体" w:hAnsi="宋体" w:eastAsia="宋体" w:cs="宋体"/>
          <w:b w:val="0"/>
          <w:bCs w:val="0"/>
          <w:color w:val="auto"/>
          <w:sz w:val="30"/>
          <w:szCs w:val="30"/>
        </w:rPr>
      </w:pPr>
    </w:p>
    <w:p w14:paraId="0D44F96D">
      <w:pPr>
        <w:framePr w:wrap="auto" w:vAnchor="margin" w:hAnchor="text" w:yAlign="inline"/>
        <w:rPr>
          <w:rFonts w:ascii="宋体" w:hAnsi="宋体" w:eastAsia="宋体" w:cs="宋体"/>
          <w:b w:val="0"/>
          <w:bCs w:val="0"/>
          <w:color w:val="auto"/>
          <w:sz w:val="30"/>
          <w:szCs w:val="30"/>
        </w:rPr>
      </w:pPr>
    </w:p>
    <w:p w14:paraId="1D03179C">
      <w:pPr>
        <w:framePr w:wrap="auto" w:vAnchor="margin" w:hAnchor="text" w:yAlign="inline"/>
        <w:rPr>
          <w:rFonts w:ascii="宋体" w:hAnsi="宋体" w:eastAsia="宋体" w:cs="宋体"/>
          <w:b w:val="0"/>
          <w:bCs w:val="0"/>
          <w:color w:val="auto"/>
          <w:sz w:val="30"/>
          <w:szCs w:val="30"/>
        </w:rPr>
      </w:pPr>
    </w:p>
    <w:p w14:paraId="3838A5F4">
      <w:pPr>
        <w:framePr w:wrap="auto" w:vAnchor="margin" w:hAnchor="text" w:yAlign="inline"/>
        <w:rPr>
          <w:rFonts w:ascii="宋体" w:hAnsi="宋体" w:eastAsia="宋体" w:cs="宋体"/>
          <w:b w:val="0"/>
          <w:bCs w:val="0"/>
          <w:color w:val="auto"/>
          <w:sz w:val="30"/>
          <w:szCs w:val="30"/>
        </w:rPr>
      </w:pPr>
    </w:p>
    <w:p w14:paraId="06AB9069">
      <w:pPr>
        <w:framePr w:wrap="auto" w:vAnchor="margin" w:hAnchor="text" w:yAlign="inline"/>
        <w:rPr>
          <w:rFonts w:ascii="宋体" w:hAnsi="宋体" w:eastAsia="宋体" w:cs="宋体"/>
          <w:b w:val="0"/>
          <w:bCs w:val="0"/>
          <w:color w:val="auto"/>
          <w:sz w:val="30"/>
          <w:szCs w:val="30"/>
        </w:rPr>
      </w:pPr>
    </w:p>
    <w:p w14:paraId="3DEA0698">
      <w:pPr>
        <w:framePr w:wrap="auto" w:vAnchor="margin" w:hAnchor="text" w:yAlign="inline"/>
        <w:rPr>
          <w:rFonts w:ascii="宋体" w:hAnsi="宋体" w:eastAsia="宋体" w:cs="宋体"/>
          <w:b w:val="0"/>
          <w:bCs w:val="0"/>
          <w:color w:val="auto"/>
          <w:sz w:val="30"/>
          <w:szCs w:val="30"/>
        </w:rPr>
      </w:pPr>
    </w:p>
    <w:p w14:paraId="0F6F0E86">
      <w:pPr>
        <w:framePr w:wrap="auto" w:vAnchor="margin" w:hAnchor="text" w:yAlign="inline"/>
        <w:rPr>
          <w:rFonts w:ascii="宋体" w:hAnsi="宋体" w:eastAsia="宋体" w:cs="宋体"/>
          <w:b w:val="0"/>
          <w:bCs w:val="0"/>
          <w:color w:val="auto"/>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highlight w:val="none"/>
        </w:rPr>
      </w:pPr>
    </w:p>
    <w:sectPr>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仿宋"/>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4"/>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F69A028B"/>
    <w:multiLevelType w:val="singleLevel"/>
    <w:tmpl w:val="F69A028B"/>
    <w:lvl w:ilvl="0" w:tentative="0">
      <w:start w:val="3"/>
      <w:numFmt w:val="chineseCounting"/>
      <w:suff w:val="space"/>
      <w:lvlText w:val="第%1部分"/>
      <w:lvlJc w:val="left"/>
      <w:rPr>
        <w:rFonts w:hint="eastAsia"/>
      </w:rPr>
    </w:lvl>
  </w:abstractNum>
  <w:abstractNum w:abstractNumId="2">
    <w:nsid w:val="35ACF8D9"/>
    <w:multiLevelType w:val="singleLevel"/>
    <w:tmpl w:val="35ACF8D9"/>
    <w:lvl w:ilvl="0" w:tentative="0">
      <w:start w:val="4"/>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42A24"/>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E6423A"/>
    <w:rsid w:val="0A0A4661"/>
    <w:rsid w:val="0A9B78EE"/>
    <w:rsid w:val="0AA6363C"/>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236F4E"/>
    <w:rsid w:val="12515E3C"/>
    <w:rsid w:val="140E413A"/>
    <w:rsid w:val="14FA6062"/>
    <w:rsid w:val="15A136FE"/>
    <w:rsid w:val="15B07E81"/>
    <w:rsid w:val="168F20CE"/>
    <w:rsid w:val="16E516C6"/>
    <w:rsid w:val="17045380"/>
    <w:rsid w:val="17981E8F"/>
    <w:rsid w:val="19583322"/>
    <w:rsid w:val="195E6747"/>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F20A54"/>
    <w:rsid w:val="1CFF68B4"/>
    <w:rsid w:val="1D970CFC"/>
    <w:rsid w:val="1DB23C0B"/>
    <w:rsid w:val="1E7D5410"/>
    <w:rsid w:val="1EFA5217"/>
    <w:rsid w:val="1F8F77FD"/>
    <w:rsid w:val="1FE15CA8"/>
    <w:rsid w:val="201062FC"/>
    <w:rsid w:val="205163BE"/>
    <w:rsid w:val="219132FB"/>
    <w:rsid w:val="21C47050"/>
    <w:rsid w:val="21FD4113"/>
    <w:rsid w:val="22D00EB0"/>
    <w:rsid w:val="22F1606B"/>
    <w:rsid w:val="2351663C"/>
    <w:rsid w:val="23AB43E8"/>
    <w:rsid w:val="24342B8A"/>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C77D7"/>
    <w:rsid w:val="2F690995"/>
    <w:rsid w:val="2FA03983"/>
    <w:rsid w:val="31820D34"/>
    <w:rsid w:val="31D1754E"/>
    <w:rsid w:val="320F2F73"/>
    <w:rsid w:val="322D042D"/>
    <w:rsid w:val="327E16D2"/>
    <w:rsid w:val="32D02EF5"/>
    <w:rsid w:val="32FD030B"/>
    <w:rsid w:val="336E55B2"/>
    <w:rsid w:val="337404A1"/>
    <w:rsid w:val="33A81F17"/>
    <w:rsid w:val="340F04F3"/>
    <w:rsid w:val="34F03D8C"/>
    <w:rsid w:val="355A58AA"/>
    <w:rsid w:val="35642D82"/>
    <w:rsid w:val="35E421F9"/>
    <w:rsid w:val="361F3BD3"/>
    <w:rsid w:val="36CC0C86"/>
    <w:rsid w:val="36E11002"/>
    <w:rsid w:val="370E04C5"/>
    <w:rsid w:val="371834E5"/>
    <w:rsid w:val="372C4A22"/>
    <w:rsid w:val="37314A6B"/>
    <w:rsid w:val="37B04845"/>
    <w:rsid w:val="37DD445E"/>
    <w:rsid w:val="38A807CE"/>
    <w:rsid w:val="38CD5385"/>
    <w:rsid w:val="3A954AAB"/>
    <w:rsid w:val="3AB652D5"/>
    <w:rsid w:val="3AFB30DD"/>
    <w:rsid w:val="3B286FE0"/>
    <w:rsid w:val="3B497155"/>
    <w:rsid w:val="3B9C1436"/>
    <w:rsid w:val="3BA75327"/>
    <w:rsid w:val="3C301A6B"/>
    <w:rsid w:val="3C3257D1"/>
    <w:rsid w:val="3CA82EE0"/>
    <w:rsid w:val="3DB15680"/>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6D2823"/>
    <w:rsid w:val="4DF76CDF"/>
    <w:rsid w:val="4EB27EE8"/>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67E247E"/>
    <w:rsid w:val="56914774"/>
    <w:rsid w:val="56B8033A"/>
    <w:rsid w:val="57021FF1"/>
    <w:rsid w:val="570441D3"/>
    <w:rsid w:val="577578C4"/>
    <w:rsid w:val="5889335C"/>
    <w:rsid w:val="58F51880"/>
    <w:rsid w:val="59065871"/>
    <w:rsid w:val="5A6C3B35"/>
    <w:rsid w:val="5AEC1D43"/>
    <w:rsid w:val="5B081D8F"/>
    <w:rsid w:val="5B5A24DB"/>
    <w:rsid w:val="5B841066"/>
    <w:rsid w:val="5B8F661B"/>
    <w:rsid w:val="5BAC5C27"/>
    <w:rsid w:val="5BC3207D"/>
    <w:rsid w:val="5C8C126B"/>
    <w:rsid w:val="5CAC3721"/>
    <w:rsid w:val="5CCD5552"/>
    <w:rsid w:val="5CE46DB3"/>
    <w:rsid w:val="5D0C4B73"/>
    <w:rsid w:val="5D1F68FE"/>
    <w:rsid w:val="5D9E0276"/>
    <w:rsid w:val="5DE16107"/>
    <w:rsid w:val="5E0377E8"/>
    <w:rsid w:val="5E550C74"/>
    <w:rsid w:val="5E7774AE"/>
    <w:rsid w:val="5F304531"/>
    <w:rsid w:val="5FFD841A"/>
    <w:rsid w:val="6056454E"/>
    <w:rsid w:val="605C5044"/>
    <w:rsid w:val="60F811B6"/>
    <w:rsid w:val="62162A30"/>
    <w:rsid w:val="6250537A"/>
    <w:rsid w:val="62842A8A"/>
    <w:rsid w:val="628F7C91"/>
    <w:rsid w:val="62C81DDF"/>
    <w:rsid w:val="63850EF3"/>
    <w:rsid w:val="639C30D9"/>
    <w:rsid w:val="64343753"/>
    <w:rsid w:val="646B5AF4"/>
    <w:rsid w:val="650B4576"/>
    <w:rsid w:val="655B557A"/>
    <w:rsid w:val="65750EF0"/>
    <w:rsid w:val="660A102C"/>
    <w:rsid w:val="661402D8"/>
    <w:rsid w:val="662004A1"/>
    <w:rsid w:val="66DC2E14"/>
    <w:rsid w:val="66DE31DE"/>
    <w:rsid w:val="670544F5"/>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4E4EC7"/>
    <w:rsid w:val="7889342D"/>
    <w:rsid w:val="789A2E8C"/>
    <w:rsid w:val="7908342F"/>
    <w:rsid w:val="79A11556"/>
    <w:rsid w:val="7A1C2C5E"/>
    <w:rsid w:val="7A8C7A2C"/>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next w:val="8"/>
    <w:autoRedefine/>
    <w:qFormat/>
    <w:uiPriority w:val="1"/>
    <w:rPr>
      <w:rFonts w:ascii="宋体" w:hAnsi="宋体" w:eastAsia="宋体" w:cs="宋体"/>
      <w:sz w:val="20"/>
      <w:szCs w:val="20"/>
      <w:lang w:val="zh-CN" w:eastAsia="zh-CN" w:bidi="zh-CN"/>
    </w:rPr>
  </w:style>
  <w:style w:type="paragraph" w:customStyle="1" w:styleId="8">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2">
    <w:name w:val="Body Text Indent 2"/>
    <w:basedOn w:val="1"/>
    <w:next w:val="13"/>
    <w:autoRedefine/>
    <w:qFormat/>
    <w:uiPriority w:val="0"/>
    <w:pPr>
      <w:spacing w:after="120" w:line="480" w:lineRule="auto"/>
      <w:ind w:left="420" w:leftChars="200"/>
    </w:pPr>
    <w:rPr>
      <w:rFonts w:eastAsia="仿宋_GB2312"/>
      <w:sz w:val="32"/>
    </w:rPr>
  </w:style>
  <w:style w:type="paragraph" w:customStyle="1" w:styleId="13">
    <w:name w:val="z正文"/>
    <w:basedOn w:val="10"/>
    <w:autoRedefine/>
    <w:qFormat/>
    <w:uiPriority w:val="99"/>
    <w:pPr>
      <w:tabs>
        <w:tab w:val="left" w:pos="525"/>
      </w:tabs>
      <w:snapToGrid w:val="0"/>
      <w:spacing w:line="360" w:lineRule="auto"/>
    </w:pPr>
    <w:rPr>
      <w:rFonts w:hAnsi="宋体"/>
      <w:kern w:val="2"/>
      <w:sz w:val="24"/>
      <w:szCs w:val="20"/>
    </w:rPr>
  </w:style>
  <w:style w:type="paragraph" w:styleId="14">
    <w:name w:val="footer"/>
    <w:basedOn w:val="1"/>
    <w:link w:val="40"/>
    <w:autoRedefine/>
    <w:qFormat/>
    <w:uiPriority w:val="0"/>
    <w:pPr>
      <w:tabs>
        <w:tab w:val="center" w:pos="4153"/>
        <w:tab w:val="right" w:pos="8306"/>
      </w:tabs>
      <w:snapToGrid w:val="0"/>
    </w:pPr>
    <w:rPr>
      <w:sz w:val="18"/>
      <w:szCs w:val="18"/>
    </w:rPr>
  </w:style>
  <w:style w:type="paragraph" w:styleId="15">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autoRedefine/>
    <w:qFormat/>
    <w:uiPriority w:val="0"/>
    <w:pPr>
      <w:spacing w:line="360" w:lineRule="auto"/>
      <w:ind w:firstLine="560" w:firstLineChars="200"/>
    </w:pPr>
    <w:rPr>
      <w:rFonts w:ascii="宋体" w:hAnsi="宋体"/>
      <w:sz w:val="28"/>
    </w:rPr>
  </w:style>
  <w:style w:type="paragraph" w:styleId="18">
    <w:name w:val="Normal (Web)"/>
    <w:basedOn w:val="1"/>
    <w:autoRedefine/>
    <w:qFormat/>
    <w:uiPriority w:val="0"/>
    <w:pPr>
      <w:spacing w:beforeAutospacing="1" w:afterAutospacing="1"/>
    </w:pPr>
    <w:rPr>
      <w:lang w:eastAsia="zh-CN"/>
    </w:rPr>
  </w:style>
  <w:style w:type="paragraph" w:styleId="1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20">
    <w:name w:val="Body Text First Indent 2"/>
    <w:basedOn w:val="9"/>
    <w:next w:val="12"/>
    <w:autoRedefine/>
    <w:qFormat/>
    <w:uiPriority w:val="0"/>
    <w:pPr>
      <w:spacing w:after="120" w:line="240" w:lineRule="auto"/>
      <w:ind w:left="420" w:leftChars="200" w:firstLine="420"/>
    </w:pPr>
    <w:rPr>
      <w:rFonts w:cs="宋体"/>
      <w:sz w:val="21"/>
      <w:szCs w:val="21"/>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qFormat/>
    <w:uiPriority w:val="0"/>
  </w:style>
  <w:style w:type="character" w:styleId="26">
    <w:name w:val="Hyperlink"/>
    <w:autoRedefine/>
    <w:qFormat/>
    <w:uiPriority w:val="0"/>
    <w:rPr>
      <w:u w:val="single"/>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3"/>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3"/>
    <w:autoRedefine/>
    <w:qFormat/>
    <w:uiPriority w:val="0"/>
    <w:rPr>
      <w:rFonts w:hint="default" w:ascii="Calibri" w:hAnsi="Calibri" w:cs="Calibri"/>
      <w:color w:val="000000"/>
      <w:sz w:val="18"/>
      <w:szCs w:val="18"/>
      <w:u w:val="none"/>
    </w:rPr>
  </w:style>
  <w:style w:type="character" w:customStyle="1" w:styleId="39">
    <w:name w:val="页眉 字符"/>
    <w:basedOn w:val="23"/>
    <w:link w:val="15"/>
    <w:autoRedefine/>
    <w:qFormat/>
    <w:uiPriority w:val="0"/>
    <w:rPr>
      <w:rFonts w:eastAsia="Arial Unicode MS"/>
      <w:sz w:val="18"/>
      <w:szCs w:val="18"/>
      <w:lang w:eastAsia="en-US"/>
    </w:rPr>
  </w:style>
  <w:style w:type="character" w:customStyle="1" w:styleId="40">
    <w:name w:val="页脚 字符"/>
    <w:basedOn w:val="23"/>
    <w:link w:val="14"/>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11"/>
    <w:basedOn w:val="23"/>
    <w:qFormat/>
    <w:uiPriority w:val="0"/>
    <w:rPr>
      <w:rFonts w:hint="eastAsia" w:ascii="宋体" w:hAnsi="宋体" w:eastAsia="宋体" w:cs="宋体"/>
      <w:color w:val="000000"/>
      <w:sz w:val="24"/>
      <w:szCs w:val="24"/>
      <w:u w:val="none"/>
    </w:rPr>
  </w:style>
  <w:style w:type="character" w:customStyle="1" w:styleId="48">
    <w:name w:val="font91"/>
    <w:basedOn w:val="23"/>
    <w:qFormat/>
    <w:uiPriority w:val="0"/>
    <w:rPr>
      <w:rFonts w:hint="eastAsia" w:ascii="宋体" w:hAnsi="宋体" w:eastAsia="宋体" w:cs="宋体"/>
      <w:b/>
      <w:bCs/>
      <w:color w:val="000000"/>
      <w:sz w:val="22"/>
      <w:szCs w:val="22"/>
      <w:u w:val="single"/>
    </w:rPr>
  </w:style>
  <w:style w:type="character" w:customStyle="1" w:styleId="49">
    <w:name w:val="font51"/>
    <w:basedOn w:val="23"/>
    <w:qFormat/>
    <w:uiPriority w:val="0"/>
    <w:rPr>
      <w:rFonts w:hint="eastAsia" w:ascii="宋体" w:hAnsi="宋体" w:eastAsia="宋体" w:cs="宋体"/>
      <w:b/>
      <w:bCs/>
      <w:color w:val="000000"/>
      <w:sz w:val="22"/>
      <w:szCs w:val="22"/>
      <w:u w:val="none"/>
    </w:rPr>
  </w:style>
  <w:style w:type="character" w:customStyle="1" w:styleId="50">
    <w:name w:val="font31"/>
    <w:qFormat/>
    <w:uiPriority w:val="0"/>
    <w:rPr>
      <w:rFonts w:hint="eastAsia" w:ascii="宋体" w:hAnsi="宋体" w:eastAsia="宋体" w:cs="宋体"/>
      <w:color w:val="000000"/>
      <w:sz w:val="24"/>
      <w:szCs w:val="24"/>
      <w:u w:val="none"/>
    </w:rPr>
  </w:style>
  <w:style w:type="character" w:customStyle="1" w:styleId="51">
    <w:name w:val="font71"/>
    <w:qFormat/>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1272</Words>
  <Characters>1393</Characters>
  <Lines>1</Lines>
  <Paragraphs>1</Paragraphs>
  <TotalTime>1</TotalTime>
  <ScaleCrop>false</ScaleCrop>
  <LinksUpToDate>false</LinksUpToDate>
  <CharactersWithSpaces>1418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2025-05-16T06:52:35Z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BF9476A5574D4FE893C9117EE2B4345A_13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